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p>
    <w:p w:rsidR="00000000" w:rsidDel="00000000" w:rsidP="00000000" w:rsidRDefault="00000000" w:rsidRPr="00000000" w14:paraId="00000002">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FIRE PREVENTION POLICY</w:t>
      </w:r>
    </w:p>
    <w:p w:rsidR="00000000" w:rsidDel="00000000" w:rsidP="00000000" w:rsidRDefault="00000000" w:rsidRPr="00000000" w14:paraId="00000003">
      <w:pPr>
        <w:widowControl w:val="0"/>
        <w:spacing w:after="0" w:line="240" w:lineRule="auto"/>
        <w:jc w:val="center"/>
        <w:rPr>
          <w:b w:val="1"/>
          <w:sz w:val="28"/>
          <w:szCs w:val="28"/>
        </w:rPr>
      </w:pPr>
      <w:r w:rsidDel="00000000" w:rsidR="00000000" w:rsidRPr="00000000">
        <w:rPr>
          <w:rFonts w:ascii="Times New Roman" w:cs="Times New Roman" w:eastAsia="Times New Roman" w:hAnsi="Times New Roman"/>
          <w:i w:val="1"/>
          <w:rtl w:val="0"/>
        </w:rPr>
        <w:t xml:space="preserve">This policy is applicable from EYFS through to year 13</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Aim</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eradicate or minimise the risk of fire in all buildings.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Purpose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To ensure procedures are in place to eradicate or minimise the risk of fire in all School buildings.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To ensure all staff, students and visitors are made aware of risks from fire and appropriate courses of action to take.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To conform with all fire regulations. </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Procedures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Fire risk assessments to be completed on all buildings and reviewed biannually or when any material changes to buildings occur.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Practice fire drills to be conducted once termly in all buildings and recorded on a fire evacuation form (Appendix A).</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Fire extinguishers will be placed in suitable locations in every building.</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fire equipment to be regularly serviced.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Fire alarms in all buildings to be tested weekly and serviced annually.</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Waste paper bins will be emptied daily and the waste stored outside the building.</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Buildings to be regularly inspected to ensure the storage of combustible materials is kept to a minimum.</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new staff to be inducted on fire evacuation procedures.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staff to be given annual fire training sessions.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w:t>
      </w:r>
      <w:r w:rsidDel="00000000" w:rsidR="00000000" w:rsidRPr="00000000">
        <w:rPr>
          <w:rFonts w:ascii="Times New Roman" w:cs="Times New Roman" w:eastAsia="Times New Roman" w:hAnsi="Times New Roman"/>
          <w:rtl w:val="0"/>
        </w:rPr>
        <w:t xml:space="preserve">Science</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department flammable products to be stored separately in lockable flame proof storage cabinets in Prep rooms.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cleaning flammable products to be stored in locked cleaning cupboards.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Fuel for Grounds equipment to be stored </w:t>
      </w:r>
      <w:r w:rsidDel="00000000" w:rsidR="00000000" w:rsidRPr="00000000">
        <w:rPr>
          <w:rFonts w:ascii="Times New Roman" w:cs="Times New Roman" w:eastAsia="Times New Roman" w:hAnsi="Times New Roman"/>
          <w:i w:val="0"/>
          <w:smallCaps w:val="0"/>
          <w:strike w:val="0"/>
          <w:u w:val="none"/>
          <w:vertAlign w:val="baseline"/>
          <w:rtl w:val="0"/>
        </w:rPr>
        <w:t xml:space="preserve">in accordance with </w:t>
      </w:r>
      <w:hyperlink r:id="rId6">
        <w:r w:rsidDel="00000000" w:rsidR="00000000" w:rsidRPr="00000000">
          <w:rPr>
            <w:rFonts w:ascii="Times New Roman" w:cs="Times New Roman" w:eastAsia="Times New Roman" w:hAnsi="Times New Roman"/>
            <w:rtl w:val="0"/>
          </w:rPr>
          <w:t xml:space="preserve">The Petroleum (Consolidation) Regulations 2014 (PCR)</w:t>
        </w:r>
      </w:hyperlink>
      <w:r w:rsidDel="00000000" w:rsidR="00000000" w:rsidRPr="00000000">
        <w:rPr>
          <w:rFonts w:ascii="Times New Roman" w:cs="Times New Roman" w:eastAsia="Times New Roman" w:hAnsi="Times New Roman"/>
          <w:i w:val="0"/>
          <w:smallCaps w:val="0"/>
          <w:strike w:val="0"/>
          <w:u w:val="none"/>
          <w:vertAlign w:val="baseline"/>
          <w:rtl w:val="0"/>
        </w:rPr>
        <w:t xml:space="preserve">, the </w:t>
      </w:r>
      <w:hyperlink r:id="rId7">
        <w:r w:rsidDel="00000000" w:rsidR="00000000" w:rsidRPr="00000000">
          <w:rPr>
            <w:rFonts w:ascii="Times New Roman" w:cs="Times New Roman" w:eastAsia="Times New Roman" w:hAnsi="Times New Roman"/>
            <w:rtl w:val="0"/>
          </w:rPr>
          <w:t xml:space="preserve">Dangerous Substances and Explosive Atmospheres Regulations 2002 (DSEAR)</w:t>
        </w:r>
      </w:hyperlink>
      <w:r w:rsidDel="00000000" w:rsidR="00000000" w:rsidRPr="00000000">
        <w:rPr>
          <w:rFonts w:ascii="Times New Roman" w:cs="Times New Roman" w:eastAsia="Times New Roman" w:hAnsi="Times New Roman"/>
          <w:i w:val="0"/>
          <w:smallCaps w:val="0"/>
          <w:strike w:val="0"/>
          <w:u w:val="none"/>
          <w:vertAlign w:val="baseline"/>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and be kept in a safe locked store.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Bin store shutters </w:t>
      </w:r>
      <w:r w:rsidDel="00000000" w:rsidR="00000000" w:rsidRPr="00000000">
        <w:rPr>
          <w:rFonts w:ascii="Times New Roman" w:cs="Times New Roman" w:eastAsia="Times New Roman" w:hAnsi="Times New Roman"/>
          <w:rtl w:val="0"/>
        </w:rPr>
        <w:t xml:space="preserve">are locked</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when the School is closed.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Where 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moke or heat detectors are installed, they shall </w:t>
      </w:r>
      <w:r w:rsidDel="00000000" w:rsidR="00000000" w:rsidRPr="00000000">
        <w:rPr>
          <w:rFonts w:ascii="Times New Roman" w:cs="Times New Roman" w:eastAsia="Times New Roman" w:hAnsi="Times New Roman"/>
          <w:rtl w:val="0"/>
        </w:rPr>
        <w:t xml:space="preserve">be maintained and tested </w:t>
      </w:r>
      <w:r w:rsidDel="00000000" w:rsidR="00000000" w:rsidRPr="00000000">
        <w:rPr>
          <w:rFonts w:ascii="Times New Roman" w:cs="Times New Roman" w:eastAsia="Times New Roman" w:hAnsi="Times New Roman"/>
          <w:rtl w:val="0"/>
        </w:rPr>
        <w:t xml:space="preserve">in accordance with British Standards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Relevant specialist equipment is subject to a fire risk assessment.</w:t>
      </w:r>
    </w:p>
    <w:p w:rsidR="00000000" w:rsidDel="00000000" w:rsidP="00000000" w:rsidRDefault="00000000" w:rsidRPr="00000000" w14:paraId="0000001C">
      <w:pPr>
        <w:numPr>
          <w:ilvl w:val="0"/>
          <w:numId w:val="2"/>
        </w:numPr>
        <w:spacing w:after="0" w:afterAutospacing="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Fire-doors and their ironmongery are checked daily and maintained as appropriate.</w:t>
      </w:r>
    </w:p>
    <w:p w:rsidR="00000000" w:rsidDel="00000000" w:rsidP="00000000" w:rsidRDefault="00000000" w:rsidRPr="00000000" w14:paraId="0000001D">
      <w:pPr>
        <w:numPr>
          <w:ilvl w:val="0"/>
          <w:numId w:val="2"/>
        </w:numPr>
        <w:spacing w:after="0" w:afterAutospacing="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means of escape doors on escape routes are unlocked in each building when it is occupied.</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Changes noted in evacuation procedure regarding COVID-19 pandemic to evacuate the building and line up at assembly points maintaining social distancing as far as practicable.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From the beginning of COVID-19 there has been an increased use of alcohol based hand sanitiser in buildings which has been noted on the FRA for each building.</w:t>
      </w:r>
      <w:r w:rsidDel="00000000" w:rsidR="00000000" w:rsidRPr="00000000">
        <w:rPr>
          <w:rtl w:val="0"/>
        </w:rPr>
      </w:r>
    </w:p>
    <w:p w:rsidR="00000000" w:rsidDel="00000000" w:rsidP="00000000" w:rsidRDefault="00000000" w:rsidRPr="00000000" w14:paraId="00000020">
      <w:pPr>
        <w:numPr>
          <w:ilvl w:val="0"/>
          <w:numId w:val="2"/>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highlight w:val="white"/>
          <w:rtl w:val="0"/>
        </w:rPr>
        <w:t xml:space="preserve">During the COVID-19 pandemic doors are propped open for increased ventilation and to reduce the need to touch handles etc. If such doors are fire doors these will be closed when the majority of pupils have left and when the room is empty. Staff and pupils have been informed to be more vigilant of fire initiation and spread</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Responsibility</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aspects of Health and Safety are overseen by the B</w:t>
      </w:r>
      <w:r w:rsidDel="00000000" w:rsidR="00000000" w:rsidRPr="00000000">
        <w:rPr>
          <w:rFonts w:ascii="Times New Roman" w:cs="Times New Roman" w:eastAsia="Times New Roman" w:hAnsi="Times New Roman"/>
          <w:rtl w:val="0"/>
        </w:rPr>
        <w:t xml:space="preserve">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staff in the organisation will be responsible for adhering to this policy.</w:t>
      </w:r>
      <w:r w:rsidDel="00000000" w:rsidR="00000000" w:rsidRPr="00000000">
        <w:rPr>
          <w:rtl w:val="0"/>
        </w:rPr>
      </w:r>
    </w:p>
    <w:p w:rsidR="00000000" w:rsidDel="00000000" w:rsidP="00000000" w:rsidRDefault="00000000" w:rsidRPr="00000000" w14:paraId="00000024">
      <w:pPr>
        <w:keepLines w:val="1"/>
        <w:widowControl w:val="0"/>
        <w:spacing w:after="120" w:line="240" w:lineRule="auto"/>
        <w:jc w:val="both"/>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6"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25">
      <w:pPr>
        <w:keepLines w:val="1"/>
        <w:widowControl w:val="0"/>
        <w:spacing w:after="12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keepLines w:val="1"/>
        <w:widowControl w:val="0"/>
        <w:spacing w:after="12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keepLines w:val="1"/>
        <w:widowControl w:val="0"/>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Prevention policy reviewed August 2020</w:t>
      </w:r>
    </w:p>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5"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Review Due: December 2022</w:t>
      </w:r>
      <w:r w:rsidDel="00000000" w:rsidR="00000000" w:rsidRPr="00000000">
        <w:rPr>
          <w:rtl w:val="0"/>
        </w:rPr>
      </w:r>
    </w:p>
    <w:p w:rsidR="00000000" w:rsidDel="00000000" w:rsidP="00000000" w:rsidRDefault="00000000" w:rsidRPr="00000000" w14:paraId="0000002F">
      <w:pPr>
        <w:keepLines w:val="1"/>
        <w:widowControl w:val="0"/>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Lines w:val="1"/>
        <w:widowControl w:val="0"/>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Lines w:val="1"/>
        <w:widowControl w:val="0"/>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Lines w:val="1"/>
        <w:widowControl w:val="0"/>
        <w:spacing w:after="120" w:line="240" w:lineRule="auto"/>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3">
      <w:pPr>
        <w:keepLines w:val="1"/>
        <w:widowControl w:val="0"/>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Lines w:val="1"/>
        <w:widowControl w:val="0"/>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A</w:t>
      </w:r>
    </w:p>
    <w:p w:rsidR="00000000" w:rsidDel="00000000" w:rsidP="00000000" w:rsidRDefault="00000000" w:rsidRPr="00000000" w14:paraId="00000035">
      <w:pPr>
        <w:pStyle w:val="Heading3"/>
        <w:spacing w:after="0" w:before="200" w:line="276" w:lineRule="auto"/>
        <w:jc w:val="center"/>
        <w:rPr>
          <w:rFonts w:ascii="Times New Roman" w:cs="Times New Roman" w:eastAsia="Times New Roman" w:hAnsi="Times New Roman"/>
          <w:b w:val="1"/>
          <w:color w:val="000000"/>
          <w:sz w:val="24"/>
          <w:szCs w:val="24"/>
        </w:rPr>
      </w:pPr>
      <w:bookmarkStart w:colFirst="0" w:colLast="0" w:name="_lq16y5tovv6" w:id="1"/>
      <w:bookmarkEnd w:id="1"/>
      <w:r w:rsidDel="00000000" w:rsidR="00000000" w:rsidRPr="00000000">
        <w:rPr>
          <w:rFonts w:ascii="Times New Roman" w:cs="Times New Roman" w:eastAsia="Times New Roman" w:hAnsi="Times New Roman"/>
          <w:b w:val="1"/>
          <w:color w:val="000000"/>
          <w:sz w:val="24"/>
          <w:szCs w:val="24"/>
          <w:rtl w:val="0"/>
        </w:rPr>
        <w:t xml:space="preserve">OLDHAM HULME GRAMMAR SCHOOL FIRE EVACUATION RECORD</w:t>
      </w:r>
    </w:p>
    <w:p w:rsidR="00000000" w:rsidDel="00000000" w:rsidP="00000000" w:rsidRDefault="00000000" w:rsidRPr="00000000" w14:paraId="00000036">
      <w:pPr>
        <w:rPr/>
      </w:pPr>
      <w:r w:rsidDel="00000000" w:rsidR="00000000" w:rsidRPr="00000000">
        <w:rPr>
          <w:rtl w:val="0"/>
        </w:rPr>
      </w:r>
    </w:p>
    <w:tbl>
      <w:tblPr>
        <w:tblStyle w:val="Table1"/>
        <w:tblW w:w="10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5"/>
        <w:gridCol w:w="2520"/>
        <w:gridCol w:w="3015"/>
        <w:tblGridChange w:id="0">
          <w:tblGrid>
            <w:gridCol w:w="4935"/>
            <w:gridCol w:w="2520"/>
            <w:gridCol w:w="3015"/>
          </w:tblGrid>
        </w:tblGridChange>
      </w:tblGrid>
      <w:tr>
        <w:trPr>
          <w:trHeight w:val="560" w:hRule="atLeast"/>
        </w:trPr>
        <w:tc>
          <w:tcPr>
            <w:gridSpan w:val="3"/>
            <w:vAlign w:val="center"/>
          </w:tcPr>
          <w:p w:rsidR="00000000" w:rsidDel="00000000" w:rsidP="00000000" w:rsidRDefault="00000000" w:rsidRPr="00000000" w14:paraId="0000003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TIME:</w:t>
            </w:r>
          </w:p>
        </w:tc>
      </w:tr>
      <w:tr>
        <w:trPr>
          <w:trHeight w:val="600" w:hRule="atLeast"/>
        </w:trPr>
        <w:tc>
          <w:tcPr>
            <w:gridSpan w:val="3"/>
            <w:tcBorders>
              <w:bottom w:color="000000" w:space="0" w:sz="4" w:val="single"/>
            </w:tcBorders>
          </w:tcPr>
          <w:p w:rsidR="00000000" w:rsidDel="00000000" w:rsidP="00000000" w:rsidRDefault="00000000" w:rsidRPr="00000000" w14:paraId="0000003A">
            <w:pPr>
              <w:tabs>
                <w:tab w:val="left" w:pos="1725"/>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BUILDING: MS DH HC EC AB TH</w:t>
            </w:r>
          </w:p>
          <w:p w:rsidR="00000000" w:rsidDel="00000000" w:rsidP="00000000" w:rsidRDefault="00000000" w:rsidRPr="00000000" w14:paraId="0000003B">
            <w:pPr>
              <w:tabs>
                <w:tab w:val="left" w:pos="1725"/>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zone card number(s) not returned</w:t>
            </w:r>
          </w:p>
        </w:tc>
      </w:tr>
      <w:tr>
        <w:trPr>
          <w:trHeight w:val="1060" w:hRule="atLeast"/>
        </w:trPr>
        <w:tc>
          <w:tcPr>
            <w:gridSpan w:val="3"/>
            <w:tcBorders>
              <w:bottom w:color="000000" w:space="0" w:sz="4" w:val="single"/>
            </w:tcBorders>
          </w:tcPr>
          <w:p w:rsidR="00000000" w:rsidDel="00000000" w:rsidP="00000000" w:rsidRDefault="00000000" w:rsidRPr="00000000" w14:paraId="0000003E">
            <w:pPr>
              <w:tabs>
                <w:tab w:val="left" w:pos="1725"/>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REASON FOR EVACUATION</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tc>
      </w:tr>
      <w:tr>
        <w:trPr>
          <w:trHeight w:val="620" w:hRule="atLeast"/>
        </w:trPr>
        <w:tc>
          <w:tcPr>
            <w:gridSpan w:val="3"/>
            <w:tcBorders>
              <w:bottom w:color="000000" w:space="0" w:sz="4" w:val="single"/>
            </w:tcBorders>
          </w:tcPr>
          <w:p w:rsidR="00000000" w:rsidDel="00000000" w:rsidP="00000000" w:rsidRDefault="00000000" w:rsidRPr="00000000" w14:paraId="0000004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APPROXIMATE TIME TO EVACUATE</w:t>
            </w:r>
          </w:p>
          <w:p w:rsidR="00000000" w:rsidDel="00000000" w:rsidP="00000000" w:rsidRDefault="00000000" w:rsidRPr="00000000" w14:paraId="00000044">
            <w:pPr>
              <w:jc w:val="both"/>
              <w:rPr>
                <w:rFonts w:ascii="Times New Roman" w:cs="Times New Roman" w:eastAsia="Times New Roman" w:hAnsi="Times New Roman"/>
                <w:b w:val="1"/>
              </w:rPr>
            </w:pPr>
            <w:r w:rsidDel="00000000" w:rsidR="00000000" w:rsidRPr="00000000">
              <w:rPr>
                <w:rtl w:val="0"/>
              </w:rPr>
            </w:r>
          </w:p>
        </w:tc>
      </w:tr>
      <w:tr>
        <w:trPr>
          <w:trHeight w:val="3740" w:hRule="atLeast"/>
        </w:trPr>
        <w:tc>
          <w:tcPr>
            <w:gridSpan w:val="3"/>
          </w:tcPr>
          <w:p w:rsidR="00000000" w:rsidDel="00000000" w:rsidP="00000000" w:rsidRDefault="00000000" w:rsidRPr="00000000" w14:paraId="0000004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w:t>
            </w:r>
          </w:p>
        </w:tc>
      </w:tr>
      <w:tr>
        <w:trPr>
          <w:trHeight w:val="4640" w:hRule="atLeast"/>
        </w:trPr>
        <w:tc>
          <w:tcPr>
            <w:gridSpan w:val="3"/>
          </w:tcPr>
          <w:p w:rsidR="00000000" w:rsidDel="00000000" w:rsidP="00000000" w:rsidRDefault="00000000" w:rsidRPr="00000000" w14:paraId="0000004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FURTHER ACTIONS REQUIRED</w:t>
            </w:r>
          </w:p>
          <w:p w:rsidR="00000000" w:rsidDel="00000000" w:rsidP="00000000" w:rsidRDefault="00000000" w:rsidRPr="00000000" w14:paraId="0000004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700" w:hRule="atLeast"/>
        </w:trPr>
        <w:tc>
          <w:tcPr>
            <w:gridSpan w:val="3"/>
          </w:tcPr>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Signature………………………………….</w:t>
            </w:r>
          </w:p>
        </w:tc>
      </w:tr>
    </w:tbl>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sectPr>
      <w:footerReference r:id="rId14" w:type="default"/>
      <w:footerReference r:id="rId15" w:type="first"/>
      <w:pgSz w:h="16838" w:w="11906"/>
      <w:pgMar w:bottom="664.8425196850417" w:top="566.9291338582677" w:left="850.3937007874016" w:right="708.543307086615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August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egislation.gov.uk/uksi/2014/1637/contents/made" TargetMode="External"/><Relationship Id="rId7" Type="http://schemas.openxmlformats.org/officeDocument/2006/relationships/hyperlink" Target="https://www.hse.gov.uk/fireandexplosion/dsear.htm"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