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165C" w:rsidRPr="00D26B94" w:rsidRDefault="002A248A">
      <w:pPr>
        <w:pBdr>
          <w:top w:val="nil"/>
          <w:left w:val="nil"/>
          <w:bottom w:val="nil"/>
          <w:right w:val="nil"/>
          <w:between w:val="nil"/>
        </w:pBdr>
        <w:ind w:right="-720" w:hanging="735"/>
        <w:jc w:val="center"/>
        <w:rPr>
          <w:rFonts w:ascii="Times New Roman" w:eastAsia="Times New Roman" w:hAnsi="Times New Roman" w:cs="Times New Roman"/>
          <w:sz w:val="28"/>
          <w:szCs w:val="28"/>
        </w:rPr>
      </w:pPr>
      <w:r w:rsidRPr="00D26B94">
        <w:rPr>
          <w:rFonts w:ascii="Times New Roman" w:eastAsia="Times New Roman" w:hAnsi="Times New Roman" w:cs="Times New Roman"/>
          <w:b/>
          <w:sz w:val="28"/>
          <w:szCs w:val="28"/>
        </w:rPr>
        <w:t>OLDHAM HULME GRAMMAR SCHOOL</w:t>
      </w:r>
    </w:p>
    <w:p w:rsidR="0088165C" w:rsidRPr="00D26B94" w:rsidRDefault="002A248A">
      <w:pPr>
        <w:pBdr>
          <w:top w:val="nil"/>
          <w:left w:val="nil"/>
          <w:bottom w:val="nil"/>
          <w:right w:val="nil"/>
          <w:between w:val="nil"/>
        </w:pBdr>
        <w:ind w:right="-720" w:hanging="735"/>
        <w:jc w:val="center"/>
        <w:rPr>
          <w:rFonts w:ascii="Times New Roman" w:eastAsia="Times New Roman" w:hAnsi="Times New Roman" w:cs="Times New Roman"/>
          <w:b/>
          <w:sz w:val="24"/>
          <w:szCs w:val="24"/>
        </w:rPr>
      </w:pPr>
      <w:r w:rsidRPr="00D26B94">
        <w:rPr>
          <w:rFonts w:ascii="Times New Roman" w:eastAsia="Times New Roman" w:hAnsi="Times New Roman" w:cs="Times New Roman"/>
          <w:b/>
          <w:sz w:val="24"/>
          <w:szCs w:val="24"/>
        </w:rPr>
        <w:t>WHISTLEBLOWING POLICY</w:t>
      </w:r>
    </w:p>
    <w:p w:rsidR="0088165C" w:rsidRPr="00D26B94" w:rsidRDefault="002A248A">
      <w:pPr>
        <w:pBdr>
          <w:top w:val="nil"/>
          <w:left w:val="nil"/>
          <w:bottom w:val="nil"/>
          <w:right w:val="nil"/>
          <w:between w:val="nil"/>
        </w:pBdr>
        <w:ind w:right="-720" w:hanging="735"/>
        <w:jc w:val="center"/>
        <w:rPr>
          <w:rFonts w:ascii="Times New Roman" w:eastAsia="Times New Roman" w:hAnsi="Times New Roman" w:cs="Times New Roman"/>
          <w:i/>
        </w:rPr>
      </w:pPr>
      <w:r w:rsidRPr="00D26B94">
        <w:rPr>
          <w:rFonts w:ascii="Times New Roman" w:eastAsia="Times New Roman" w:hAnsi="Times New Roman" w:cs="Times New Roman"/>
          <w:i/>
        </w:rPr>
        <w:t>This procedure is applicable from EYFS through to Year 13</w:t>
      </w:r>
    </w:p>
    <w:p w:rsidR="0088165C" w:rsidRPr="00D26B94" w:rsidRDefault="0088165C">
      <w:pPr>
        <w:pBdr>
          <w:top w:val="nil"/>
          <w:left w:val="nil"/>
          <w:bottom w:val="nil"/>
          <w:right w:val="nil"/>
          <w:between w:val="nil"/>
        </w:pBdr>
        <w:ind w:right="-24"/>
        <w:rPr>
          <w:rFonts w:ascii="Times New Roman" w:eastAsia="Times New Roman" w:hAnsi="Times New Roman" w:cs="Times New Roman"/>
          <w:b/>
        </w:rPr>
      </w:pPr>
      <w:bookmarkStart w:id="0" w:name="_gjdgxs" w:colFirst="0" w:colLast="0"/>
      <w:bookmarkEnd w:id="0"/>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Oldham Hulme Grammar School is committed to the highest possible standards of openness, probity and accountability. </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School encourages all members of staff and pupils to raise genuine concerns about malpractice or impropriety at the earliest practicable stage.  This policy sets out a process whereby employees who have concerns about malpractice or impropriety may, in</w:t>
      </w:r>
      <w:r w:rsidRPr="00D26B94">
        <w:rPr>
          <w:rFonts w:ascii="Times New Roman" w:eastAsia="Times New Roman" w:hAnsi="Times New Roman" w:cs="Times New Roman"/>
        </w:rPr>
        <w:t xml:space="preserve"> good faith, raise those concerns at a high level in the School, outside of normal line management, and without fear of detriment. The procedure also seeks to balance the need to provide safeguards for members of staff who raise genuine concerns about malp</w:t>
      </w:r>
      <w:r w:rsidRPr="00D26B94">
        <w:rPr>
          <w:rFonts w:ascii="Times New Roman" w:eastAsia="Times New Roman" w:hAnsi="Times New Roman" w:cs="Times New Roman"/>
        </w:rPr>
        <w:t>ractice or impropriety against the need to protect other members of staff, pupils, members of the Governing Body, and the School against uninformed or vexatious allegations.</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b/>
        </w:rPr>
      </w:pPr>
      <w:r w:rsidRPr="00D26B94">
        <w:rPr>
          <w:rFonts w:ascii="Times New Roman" w:eastAsia="Times New Roman" w:hAnsi="Times New Roman" w:cs="Times New Roman"/>
          <w:b/>
        </w:rPr>
        <w:t>Key Principles</w:t>
      </w:r>
    </w:p>
    <w:p w:rsidR="0088165C" w:rsidRPr="00D26B94" w:rsidRDefault="002A248A">
      <w:pPr>
        <w:numPr>
          <w:ilvl w:val="0"/>
          <w:numId w:val="1"/>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Oldham Hulme Grammar School aims to have a culture of safety and raising concerns;</w:t>
      </w:r>
    </w:p>
    <w:p w:rsidR="0088165C" w:rsidRPr="00D26B94" w:rsidRDefault="002A248A">
      <w:pPr>
        <w:numPr>
          <w:ilvl w:val="0"/>
          <w:numId w:val="1"/>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Oldham Hulme Grammar School values its staff and being reflective in its practice;</w:t>
      </w:r>
    </w:p>
    <w:p w:rsidR="0088165C" w:rsidRPr="00D26B94" w:rsidRDefault="002A248A">
      <w:pPr>
        <w:numPr>
          <w:ilvl w:val="0"/>
          <w:numId w:val="1"/>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There are clear procedures for reporting and handling concerns;</w:t>
      </w:r>
    </w:p>
    <w:p w:rsidR="0088165C" w:rsidRPr="00D26B94" w:rsidRDefault="002A248A">
      <w:pPr>
        <w:numPr>
          <w:ilvl w:val="0"/>
          <w:numId w:val="1"/>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Relevant training and support is provided for all staff;</w:t>
      </w:r>
    </w:p>
    <w:p w:rsidR="0088165C" w:rsidRPr="00D26B94" w:rsidRDefault="002A248A">
      <w:pPr>
        <w:numPr>
          <w:ilvl w:val="0"/>
          <w:numId w:val="1"/>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That there be transparency and accountability in relation to how concerns are received and handled.</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Legal Framework</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Public Interest Disclosure Act 1998 protects a worker from victimisation and d</w:t>
      </w:r>
      <w:r w:rsidRPr="00D26B94">
        <w:rPr>
          <w:rFonts w:ascii="Times New Roman" w:eastAsia="Times New Roman" w:hAnsi="Times New Roman" w:cs="Times New Roman"/>
        </w:rPr>
        <w:t xml:space="preserve">ismissal following disclosure by that worker of a matter threatening the public interest, as long as the case satisfies the detailed conditions set out in the Act.  To be protected, the worker must make a "qualifying disclosure" and ensure that it is made </w:t>
      </w:r>
      <w:r w:rsidRPr="00D26B94">
        <w:rPr>
          <w:rFonts w:ascii="Times New Roman" w:eastAsia="Times New Roman" w:hAnsi="Times New Roman" w:cs="Times New Roman"/>
        </w:rPr>
        <w:t xml:space="preserve">in one of the ways described in the Act. </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 xml:space="preserve">"Qualifying disclosure" </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This is any disclosure of information which, in the reasonable belief of the worker making the disclosure, tends to show one or more of the following: </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numPr>
          <w:ilvl w:val="0"/>
          <w:numId w:val="2"/>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That a criminal offence has been, is being or is likely to be committed;</w:t>
      </w:r>
    </w:p>
    <w:p w:rsidR="0088165C" w:rsidRPr="00D26B94" w:rsidRDefault="002A248A">
      <w:pPr>
        <w:numPr>
          <w:ilvl w:val="0"/>
          <w:numId w:val="2"/>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That a person has failed, is failing or is likely to fail to comply with any legal obligation to which he or she is subject.  This includes any contractual or other common law obligat</w:t>
      </w:r>
      <w:r w:rsidRPr="00D26B94">
        <w:rPr>
          <w:rFonts w:ascii="Times New Roman" w:eastAsia="Times New Roman" w:hAnsi="Times New Roman" w:cs="Times New Roman"/>
        </w:rPr>
        <w:t>ion, statutory duty or requirement or administrative law requirement.  It could include academic or professional malpractice or a failure to comply with any rules, regulations or codes of practice of the institution;</w:t>
      </w:r>
    </w:p>
    <w:p w:rsidR="0088165C" w:rsidRPr="00D26B94" w:rsidRDefault="002A248A">
      <w:pPr>
        <w:numPr>
          <w:ilvl w:val="0"/>
          <w:numId w:val="2"/>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That a miscarriage of justice has occur</w:t>
      </w:r>
      <w:r w:rsidRPr="00D26B94">
        <w:rPr>
          <w:rFonts w:ascii="Times New Roman" w:eastAsia="Times New Roman" w:hAnsi="Times New Roman" w:cs="Times New Roman"/>
        </w:rPr>
        <w:t>red, is occurring or is likely to occur;</w:t>
      </w:r>
    </w:p>
    <w:p w:rsidR="0088165C" w:rsidRPr="00D26B94" w:rsidRDefault="002A248A">
      <w:pPr>
        <w:numPr>
          <w:ilvl w:val="0"/>
          <w:numId w:val="2"/>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That the health and safety of any individual has been, is being or is likely to be endangered;</w:t>
      </w:r>
    </w:p>
    <w:p w:rsidR="0088165C" w:rsidRPr="00D26B94" w:rsidRDefault="002A248A">
      <w:pPr>
        <w:numPr>
          <w:ilvl w:val="0"/>
          <w:numId w:val="2"/>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That the environment has been, is being or is likely to be damaged; or</w:t>
      </w:r>
    </w:p>
    <w:p w:rsidR="0088165C" w:rsidRPr="00D26B94" w:rsidRDefault="002A248A">
      <w:pPr>
        <w:numPr>
          <w:ilvl w:val="0"/>
          <w:numId w:val="2"/>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That information tending to show any of the above</w:t>
      </w:r>
      <w:r w:rsidRPr="00D26B94">
        <w:rPr>
          <w:rFonts w:ascii="Times New Roman" w:eastAsia="Times New Roman" w:hAnsi="Times New Roman" w:cs="Times New Roman"/>
        </w:rPr>
        <w:t xml:space="preserve"> has been is being or is likely to be deliberately concealed. </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w:t>
      </w: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Safeguarding</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Nothing within this policy is intended to prevent staff from complying with their statutory obligations in accordance with Keeping Children Safe in Education.  In particular:</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proofErr w:type="gramStart"/>
      <w:r w:rsidRPr="00D26B94">
        <w:rPr>
          <w:rFonts w:ascii="Times New Roman" w:eastAsia="Times New Roman" w:hAnsi="Times New Roman" w:cs="Times New Roman"/>
        </w:rPr>
        <w:t>Sa</w:t>
      </w:r>
      <w:r w:rsidRPr="00D26B94">
        <w:rPr>
          <w:rFonts w:ascii="Times New Roman" w:eastAsia="Times New Roman" w:hAnsi="Times New Roman" w:cs="Times New Roman"/>
        </w:rPr>
        <w:t>feguarding  Policy</w:t>
      </w:r>
      <w:proofErr w:type="gramEnd"/>
      <w:r w:rsidRPr="00D26B94">
        <w:rPr>
          <w:rFonts w:ascii="Times New Roman" w:eastAsia="Times New Roman" w:hAnsi="Times New Roman" w:cs="Times New Roman"/>
        </w:rPr>
        <w:t>:  You should raise any initial safeguarding concerns with the Principal in accordance with the School's Safeguarding Policy and Procedures.</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Whistleblowing Policy:  You should follow this procedure to raise concerns about poor or unsafe </w:t>
      </w:r>
      <w:r w:rsidRPr="00D26B94">
        <w:rPr>
          <w:rFonts w:ascii="Times New Roman" w:eastAsia="Times New Roman" w:hAnsi="Times New Roman" w:cs="Times New Roman"/>
        </w:rPr>
        <w:t>safeguarding practices at the School or potential failures by the School or staff to properly safeguard the welfare of pupils if you are concerned that the School's Safeguarding Policy and Procedures are not being followed correctly.  The NSPCC have a Whis</w:t>
      </w:r>
      <w:r w:rsidRPr="00D26B94">
        <w:rPr>
          <w:rFonts w:ascii="Times New Roman" w:eastAsia="Times New Roman" w:hAnsi="Times New Roman" w:cs="Times New Roman"/>
        </w:rPr>
        <w:t>tleblowing Advice Line on 0800 028 0285.</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Children's Social Care: In exceptional circumstances, or if at any point there is a risk of immediate serious harm to a child, a referral should be made to Children's Social Care immediately. The Oldham Multi-Agenc</w:t>
      </w:r>
      <w:r w:rsidRPr="00D26B94">
        <w:rPr>
          <w:rFonts w:ascii="Times New Roman" w:eastAsia="Times New Roman" w:hAnsi="Times New Roman" w:cs="Times New Roman"/>
        </w:rPr>
        <w:t>y Safeguarding Hub (MASH) can be contacted on: 0161 770 7777</w:t>
      </w:r>
      <w:r w:rsidRPr="00D26B94">
        <w:rPr>
          <w:rFonts w:ascii="Times New Roman" w:eastAsia="Times New Roman" w:hAnsi="Times New Roman" w:cs="Times New Roman"/>
        </w:rPr>
        <w:t>.</w:t>
      </w: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Grievances</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This procedure should not however be used where you have a complaint relating to your personal circumstances in the </w:t>
      </w:r>
      <w:r w:rsidRPr="00D26B94">
        <w:rPr>
          <w:rFonts w:ascii="Times New Roman" w:eastAsia="Times New Roman" w:hAnsi="Times New Roman" w:cs="Times New Roman"/>
        </w:rPr>
        <w:lastRenderedPageBreak/>
        <w:t>workplace.  The Grievance Procedure contained in the Employment Man</w:t>
      </w:r>
      <w:r w:rsidRPr="00D26B94">
        <w:rPr>
          <w:rFonts w:ascii="Times New Roman" w:eastAsia="Times New Roman" w:hAnsi="Times New Roman" w:cs="Times New Roman"/>
        </w:rPr>
        <w:t>ual should be used in such cases. The Grievance Procedure contains provision for mediation and dispute resolution where necessary.</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Detriment</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No disciplinary action will be taken against anyone for making a disclosure in accordance with this procedure.  This will not prevent the School from bringing disciplinary action in cases where there are grounds to believe that a disclosure has been made m</w:t>
      </w:r>
      <w:r w:rsidRPr="00D26B94">
        <w:rPr>
          <w:rFonts w:ascii="Times New Roman" w:eastAsia="Times New Roman" w:hAnsi="Times New Roman" w:cs="Times New Roman"/>
        </w:rPr>
        <w:t xml:space="preserve">aliciously or </w:t>
      </w:r>
      <w:proofErr w:type="spellStart"/>
      <w:r w:rsidRPr="00D26B94">
        <w:rPr>
          <w:rFonts w:ascii="Times New Roman" w:eastAsia="Times New Roman" w:hAnsi="Times New Roman" w:cs="Times New Roman"/>
        </w:rPr>
        <w:t>vexatiously</w:t>
      </w:r>
      <w:proofErr w:type="spellEnd"/>
      <w:r w:rsidRPr="00D26B94">
        <w:rPr>
          <w:rFonts w:ascii="Times New Roman" w:eastAsia="Times New Roman" w:hAnsi="Times New Roman" w:cs="Times New Roman"/>
        </w:rPr>
        <w:t xml:space="preserve"> or where an external disclosure is made in breach of this procedure without reasonable grounds or otherwise than to an appropriate public authority.</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Stage one</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Procedure:</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You should disclose the suspected wrongdoing first to a mem</w:t>
      </w:r>
      <w:r w:rsidRPr="00D26B94">
        <w:rPr>
          <w:rFonts w:ascii="Times New Roman" w:eastAsia="Times New Roman" w:hAnsi="Times New Roman" w:cs="Times New Roman"/>
        </w:rPr>
        <w:t>ber of the Senior Management Team.  In the event that the member of the Senior Management Team is involved in the suspected wrongdoing, you shall be entitled to proceed directly to Stage Two of this procedure.</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Response: </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You can expect a response detailin</w:t>
      </w:r>
      <w:r w:rsidRPr="00D26B94">
        <w:rPr>
          <w:rFonts w:ascii="Times New Roman" w:eastAsia="Times New Roman" w:hAnsi="Times New Roman" w:cs="Times New Roman"/>
        </w:rPr>
        <w:t>g to whom the disclosure has been notified or any action taken within seven days of the member of the Senior Management Team becoming aware of the disclosure.  </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w:t>
      </w: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Stage two</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Procedure:  If no response is forthcoming after seven days or if the member of the Senior Management Team is involved in the suspected wrongdoing you shall be entitled to notify the Principal or Business and Operations Direc</w:t>
      </w:r>
      <w:r w:rsidRPr="00D26B94">
        <w:rPr>
          <w:rFonts w:ascii="Times New Roman" w:eastAsia="Times New Roman" w:hAnsi="Times New Roman" w:cs="Times New Roman"/>
        </w:rPr>
        <w:t>tor</w:t>
      </w:r>
      <w:r w:rsidRPr="00D26B94">
        <w:rPr>
          <w:rFonts w:ascii="Times New Roman" w:eastAsia="Times New Roman" w:hAnsi="Times New Roman" w:cs="Times New Roman"/>
        </w:rPr>
        <w:t>, as appropriate.</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Response: </w:t>
      </w:r>
      <w:r w:rsidRPr="00D26B94">
        <w:rPr>
          <w:rFonts w:ascii="Times New Roman" w:eastAsia="Times New Roman" w:hAnsi="Times New Roman" w:cs="Times New Roman"/>
        </w:rPr>
        <w:t> You can expect a response detailing any action taken within seven days of the Principal or Business and Operations Direc</w:t>
      </w:r>
      <w:r w:rsidRPr="00D26B94">
        <w:rPr>
          <w:rFonts w:ascii="Times New Roman" w:eastAsia="Times New Roman" w:hAnsi="Times New Roman" w:cs="Times New Roman"/>
        </w:rPr>
        <w:t>tor</w:t>
      </w:r>
      <w:r w:rsidRPr="00D26B94">
        <w:rPr>
          <w:rFonts w:ascii="Times New Roman" w:eastAsia="Times New Roman" w:hAnsi="Times New Roman" w:cs="Times New Roman"/>
        </w:rPr>
        <w:t xml:space="preserve"> becoming aware of the disclosure.</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Stage three</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Procedure:  If no such response is forthcoming, or if the Principal is involved in t</w:t>
      </w:r>
      <w:r w:rsidRPr="00D26B94">
        <w:rPr>
          <w:rFonts w:ascii="Times New Roman" w:eastAsia="Times New Roman" w:hAnsi="Times New Roman" w:cs="Times New Roman"/>
        </w:rPr>
        <w:t>he suspected wrongdoing, you should inform the Chair of Governors of the disclosure.</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Stage four</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Outside body:  If you do not receive a response within seven days you shall be entitled to notify a relevant and appropriate body outside the School which may </w:t>
      </w:r>
      <w:r w:rsidRPr="00D26B94">
        <w:rPr>
          <w:rFonts w:ascii="Times New Roman" w:eastAsia="Times New Roman" w:hAnsi="Times New Roman" w:cs="Times New Roman"/>
        </w:rPr>
        <w:t>include:</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Local Authority Designated Officer;</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Children's Social Care;</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Health and Safety Executive;</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Environment Agency;</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Information Commissioner;</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Department for Education (DfE);</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an examination board</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the Department for Business, </w:t>
      </w:r>
      <w:r w:rsidRPr="00D26B94">
        <w:rPr>
          <w:rFonts w:ascii="Times New Roman" w:eastAsia="Times New Roman" w:hAnsi="Times New Roman" w:cs="Times New Roman"/>
        </w:rPr>
        <w:t>Energy and Industrial stra</w:t>
      </w:r>
      <w:r w:rsidRPr="00D26B94">
        <w:rPr>
          <w:rFonts w:ascii="Times New Roman" w:eastAsia="Times New Roman" w:hAnsi="Times New Roman" w:cs="Times New Roman"/>
        </w:rPr>
        <w:t>tegy</w:t>
      </w:r>
      <w:r w:rsidRPr="00D26B94">
        <w:rPr>
          <w:rFonts w:ascii="Times New Roman" w:eastAsia="Times New Roman" w:hAnsi="Times New Roman" w:cs="Times New Roman"/>
        </w:rPr>
        <w:t>;</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Police;</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Charity Commission;</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Independent Schools Inspectorate (ISI);</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Office for Standards in Education, Children's Services and Skills (Ofsted)</w:t>
      </w:r>
    </w:p>
    <w:p w:rsidR="0088165C" w:rsidRPr="00D26B94" w:rsidRDefault="002A248A">
      <w:pPr>
        <w:numPr>
          <w:ilvl w:val="0"/>
          <w:numId w:val="3"/>
        </w:num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the local authority Channel panel;</w:t>
      </w:r>
    </w:p>
    <w:p w:rsidR="0088165C" w:rsidRPr="00D26B94" w:rsidRDefault="0088165C">
      <w:pPr>
        <w:pBdr>
          <w:top w:val="nil"/>
          <w:left w:val="nil"/>
          <w:bottom w:val="nil"/>
          <w:right w:val="nil"/>
          <w:between w:val="nil"/>
        </w:pBdr>
        <w:jc w:val="both"/>
        <w:rPr>
          <w:rFonts w:ascii="Times New Roman" w:eastAsia="Times New Roman" w:hAnsi="Times New Roman" w:cs="Times New Roman"/>
          <w:b/>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Bypassing the procedure</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In extreme circumstances you will have the right to raise your concern directly with a relevant and appropriate outside body without first having followed the stages above.  </w:t>
      </w:r>
      <w:r w:rsidRPr="00D26B94">
        <w:rPr>
          <w:rFonts w:ascii="Times New Roman" w:eastAsia="Times New Roman" w:hAnsi="Times New Roman" w:cs="Times New Roman"/>
        </w:rPr>
        <w:t>In these circumstances it would be appropriate for staff to raise the concern dire</w:t>
      </w:r>
      <w:r w:rsidRPr="00D26B94">
        <w:rPr>
          <w:rFonts w:ascii="Times New Roman" w:eastAsia="Times New Roman" w:hAnsi="Times New Roman" w:cs="Times New Roman"/>
        </w:rPr>
        <w:t>ctly with the relevant external authority (which may include those in the list above).</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Extreme circumstances</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 xml:space="preserve">The School will consider extreme circumstances exist where you have a reasonable belief that: the School will subject </w:t>
      </w:r>
      <w:r w:rsidRPr="00D26B94">
        <w:rPr>
          <w:rFonts w:ascii="Times New Roman" w:eastAsia="Times New Roman" w:hAnsi="Times New Roman" w:cs="Times New Roman"/>
        </w:rPr>
        <w:lastRenderedPageBreak/>
        <w:t>you to detriment if you inform a Senior Manager in accordance with Stage one above or if you inform the Principal or Bu</w:t>
      </w:r>
      <w:r w:rsidRPr="00D26B94">
        <w:rPr>
          <w:rFonts w:ascii="Times New Roman" w:eastAsia="Times New Roman" w:hAnsi="Times New Roman" w:cs="Times New Roman"/>
        </w:rPr>
        <w:t>siness and Operatio</w:t>
      </w:r>
      <w:r w:rsidRPr="00D26B94">
        <w:rPr>
          <w:rFonts w:ascii="Times New Roman" w:eastAsia="Times New Roman" w:hAnsi="Times New Roman" w:cs="Times New Roman"/>
        </w:rPr>
        <w:t>ns Director</w:t>
      </w:r>
      <w:r w:rsidRPr="00D26B94">
        <w:rPr>
          <w:rFonts w:ascii="Times New Roman" w:eastAsia="Times New Roman" w:hAnsi="Times New Roman" w:cs="Times New Roman"/>
        </w:rPr>
        <w:t xml:space="preserve"> in accordance with Stage two or you inform the Chair of Governors in accordance with Stage three; a cover-up is being mounted by the School; or a disclosure made previously to a senior manager  or the Principal, Bu</w:t>
      </w:r>
      <w:r w:rsidRPr="00D26B94">
        <w:rPr>
          <w:rFonts w:ascii="Times New Roman" w:eastAsia="Times New Roman" w:hAnsi="Times New Roman" w:cs="Times New Roman"/>
        </w:rPr>
        <w:t>siness and Operations Director</w:t>
      </w:r>
      <w:r w:rsidRPr="00D26B94">
        <w:rPr>
          <w:rFonts w:ascii="Times New Roman" w:eastAsia="Times New Roman" w:hAnsi="Times New Roman" w:cs="Times New Roman"/>
        </w:rPr>
        <w:t xml:space="preserve"> </w:t>
      </w:r>
      <w:r w:rsidRPr="00D26B94">
        <w:rPr>
          <w:rFonts w:ascii="Times New Roman" w:eastAsia="Times New Roman" w:hAnsi="Times New Roman" w:cs="Times New Roman"/>
        </w:rPr>
        <w:t>or the Chair of Governors in accordance with the stages above has not prompted a satisfactory response.</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The media</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Even where extreme circumstances are thought to exist, you should under no circumstances approach a commercial body or the media with detail</w:t>
      </w:r>
      <w:r w:rsidRPr="00D26B94">
        <w:rPr>
          <w:rFonts w:ascii="Times New Roman" w:eastAsia="Times New Roman" w:hAnsi="Times New Roman" w:cs="Times New Roman"/>
        </w:rPr>
        <w:t>s of the suspected wrongdoing.  If you approach any such body and / or where your concern is disclosed for personal gain, the School may consider this to be gross misconduct and immediate disciplinary action may be taken against you.</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2A248A">
      <w:pPr>
        <w:pBdr>
          <w:top w:val="nil"/>
          <w:left w:val="nil"/>
          <w:bottom w:val="nil"/>
          <w:right w:val="nil"/>
          <w:between w:val="nil"/>
        </w:pBdr>
        <w:jc w:val="both"/>
        <w:rPr>
          <w:rFonts w:ascii="Times New Roman" w:eastAsia="Times New Roman" w:hAnsi="Times New Roman" w:cs="Times New Roman"/>
          <w:sz w:val="24"/>
          <w:szCs w:val="24"/>
        </w:rPr>
      </w:pPr>
      <w:r w:rsidRPr="00D26B94">
        <w:rPr>
          <w:rFonts w:ascii="Times New Roman" w:eastAsia="Times New Roman" w:hAnsi="Times New Roman" w:cs="Times New Roman"/>
          <w:b/>
          <w:sz w:val="24"/>
          <w:szCs w:val="24"/>
        </w:rPr>
        <w:t>Queries</w:t>
      </w:r>
    </w:p>
    <w:p w:rsidR="0088165C" w:rsidRPr="00D26B94" w:rsidRDefault="002A248A">
      <w:pPr>
        <w:pBdr>
          <w:top w:val="nil"/>
          <w:left w:val="nil"/>
          <w:bottom w:val="nil"/>
          <w:right w:val="nil"/>
          <w:between w:val="nil"/>
        </w:pBdr>
        <w:jc w:val="both"/>
        <w:rPr>
          <w:rFonts w:ascii="Times New Roman" w:eastAsia="Times New Roman" w:hAnsi="Times New Roman" w:cs="Times New Roman"/>
        </w:rPr>
      </w:pPr>
      <w:r w:rsidRPr="00D26B94">
        <w:rPr>
          <w:rFonts w:ascii="Times New Roman" w:eastAsia="Times New Roman" w:hAnsi="Times New Roman" w:cs="Times New Roman"/>
        </w:rPr>
        <w:t>If you have a</w:t>
      </w:r>
      <w:r w:rsidRPr="00D26B94">
        <w:rPr>
          <w:rFonts w:ascii="Times New Roman" w:eastAsia="Times New Roman" w:hAnsi="Times New Roman" w:cs="Times New Roman"/>
        </w:rPr>
        <w:t>ny queries about this procedure, you should contact the Bu</w:t>
      </w:r>
      <w:r w:rsidRPr="00D26B94">
        <w:rPr>
          <w:rFonts w:ascii="Times New Roman" w:eastAsia="Times New Roman" w:hAnsi="Times New Roman" w:cs="Times New Roman"/>
        </w:rPr>
        <w:t xml:space="preserve">siness and Operations Director </w:t>
      </w:r>
      <w:r w:rsidRPr="00D26B94">
        <w:rPr>
          <w:rFonts w:ascii="Times New Roman" w:eastAsia="Times New Roman" w:hAnsi="Times New Roman" w:cs="Times New Roman"/>
        </w:rPr>
        <w:t>or Principal.  </w:t>
      </w:r>
    </w:p>
    <w:p w:rsidR="0088165C" w:rsidRPr="00D26B94" w:rsidRDefault="0088165C">
      <w:pPr>
        <w:pBdr>
          <w:top w:val="nil"/>
          <w:left w:val="nil"/>
          <w:bottom w:val="nil"/>
          <w:right w:val="nil"/>
          <w:between w:val="nil"/>
        </w:pBdr>
        <w:jc w:val="both"/>
        <w:rPr>
          <w:rFonts w:ascii="Times New Roman" w:eastAsia="Times New Roman" w:hAnsi="Times New Roman" w:cs="Times New Roman"/>
        </w:rPr>
      </w:pPr>
    </w:p>
    <w:p w:rsidR="0088165C" w:rsidRPr="00D26B94" w:rsidRDefault="0088165C">
      <w:pPr>
        <w:jc w:val="both"/>
        <w:rPr>
          <w:rFonts w:ascii="Times New Roman" w:eastAsia="Times New Roman" w:hAnsi="Times New Roman" w:cs="Times New Roman"/>
          <w:b/>
        </w:rPr>
      </w:pPr>
    </w:p>
    <w:p w:rsidR="0088165C" w:rsidRPr="00D26B94" w:rsidRDefault="002A248A">
      <w:pPr>
        <w:jc w:val="both"/>
        <w:rPr>
          <w:rFonts w:ascii="Times New Roman" w:eastAsia="Times New Roman" w:hAnsi="Times New Roman" w:cs="Times New Roman"/>
        </w:rPr>
      </w:pPr>
      <w:r w:rsidRPr="00D26B94">
        <w:rPr>
          <w:rFonts w:ascii="Times New Roman" w:eastAsia="Times New Roman" w:hAnsi="Times New Roman" w:cs="Times New Roman"/>
          <w:b/>
        </w:rPr>
        <w:t xml:space="preserve">Whistle Blowing policy Reviewed: </w:t>
      </w:r>
      <w:proofErr w:type="gramStart"/>
      <w:r w:rsidRPr="00D26B94">
        <w:rPr>
          <w:rFonts w:ascii="Times New Roman" w:eastAsia="Times New Roman" w:hAnsi="Times New Roman" w:cs="Times New Roman"/>
          <w:b/>
        </w:rPr>
        <w:t>February  2019</w:t>
      </w:r>
      <w:proofErr w:type="gramEnd"/>
    </w:p>
    <w:p w:rsidR="0088165C" w:rsidRPr="00D26B94" w:rsidRDefault="0088165C">
      <w:pPr>
        <w:jc w:val="both"/>
        <w:rPr>
          <w:rFonts w:ascii="Times New Roman" w:eastAsia="Times New Roman" w:hAnsi="Times New Roman" w:cs="Times New Roman"/>
        </w:rPr>
      </w:pPr>
    </w:p>
    <w:p w:rsidR="0088165C" w:rsidRPr="00D26B94" w:rsidRDefault="0088165C">
      <w:pPr>
        <w:jc w:val="both"/>
        <w:rPr>
          <w:rFonts w:ascii="Times New Roman" w:eastAsia="Times New Roman" w:hAnsi="Times New Roman" w:cs="Times New Roman"/>
        </w:rPr>
      </w:pPr>
    </w:p>
    <w:p w:rsidR="0088165C" w:rsidRPr="00D26B94" w:rsidRDefault="002A248A">
      <w:pPr>
        <w:jc w:val="both"/>
        <w:rPr>
          <w:rFonts w:ascii="Times New Roman" w:eastAsia="Times New Roman" w:hAnsi="Times New Roman" w:cs="Times New Roman"/>
        </w:rPr>
      </w:pPr>
      <w:r w:rsidRPr="00D26B94">
        <w:rPr>
          <w:rFonts w:ascii="Times New Roman" w:eastAsia="Times New Roman" w:hAnsi="Times New Roman" w:cs="Times New Roman"/>
        </w:rPr>
        <w:t>Signed:</w:t>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t xml:space="preserve"> Principal </w:t>
      </w:r>
      <w:r w:rsidRPr="00D26B94">
        <w:rPr>
          <w:rFonts w:ascii="Times New Roman" w:eastAsia="Times New Roman" w:hAnsi="Times New Roman" w:cs="Times New Roman"/>
        </w:rPr>
        <w:tab/>
      </w:r>
      <w:r w:rsidRPr="00D26B94">
        <w:rPr>
          <w:rFonts w:ascii="Times New Roman" w:eastAsia="Times New Roman" w:hAnsi="Times New Roman" w:cs="Times New Roman"/>
        </w:rPr>
        <w:tab/>
        <w:t>Date:</w:t>
      </w:r>
      <w:r w:rsidRPr="00D26B94">
        <w:rPr>
          <w:noProof/>
        </w:rPr>
        <mc:AlternateContent>
          <mc:Choice Requires="wpg">
            <w:drawing>
              <wp:anchor distT="0" distB="0" distL="114300" distR="114300" simplePos="0" relativeHeight="251658240" behindDoc="0" locked="0" layoutInCell="1" hidden="0" allowOverlap="1">
                <wp:simplePos x="0" y="0"/>
                <wp:positionH relativeFrom="column">
                  <wp:posOffset>609600</wp:posOffset>
                </wp:positionH>
                <wp:positionV relativeFrom="paragraph">
                  <wp:posOffset>127000</wp:posOffset>
                </wp:positionV>
                <wp:extent cx="2565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r w:rsidRPr="00D26B94">
        <w:rPr>
          <w:noProof/>
        </w:rPr>
        <mc:AlternateContent>
          <mc:Choice Requires="wpg">
            <w:drawing>
              <wp:anchor distT="0" distB="0" distL="114300" distR="114300" simplePos="0" relativeHeight="251659264" behindDoc="0" locked="0" layoutInCell="1" hidden="0" allowOverlap="1">
                <wp:simplePos x="0" y="0"/>
                <wp:positionH relativeFrom="column">
                  <wp:posOffset>5105400</wp:posOffset>
                </wp:positionH>
                <wp:positionV relativeFrom="paragraph">
                  <wp:posOffset>127000</wp:posOffset>
                </wp:positionV>
                <wp:extent cx="1422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p>
    <w:p w:rsidR="0088165C" w:rsidRPr="00D26B94" w:rsidRDefault="0088165C">
      <w:pPr>
        <w:jc w:val="both"/>
        <w:rPr>
          <w:rFonts w:ascii="Times New Roman" w:eastAsia="Times New Roman" w:hAnsi="Times New Roman" w:cs="Times New Roman"/>
        </w:rPr>
      </w:pPr>
    </w:p>
    <w:p w:rsidR="0088165C" w:rsidRPr="00D26B94" w:rsidRDefault="002A248A">
      <w:pPr>
        <w:jc w:val="both"/>
        <w:rPr>
          <w:rFonts w:ascii="Times New Roman" w:eastAsia="Times New Roman" w:hAnsi="Times New Roman" w:cs="Times New Roman"/>
        </w:rPr>
      </w:pPr>
      <w:r w:rsidRPr="00D26B94">
        <w:rPr>
          <w:rFonts w:ascii="Times New Roman" w:eastAsia="Times New Roman" w:hAnsi="Times New Roman" w:cs="Times New Roman"/>
        </w:rPr>
        <w:t xml:space="preserve">Signed: </w:t>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r>
      <w:r w:rsidRPr="00D26B94">
        <w:rPr>
          <w:rFonts w:ascii="Times New Roman" w:eastAsia="Times New Roman" w:hAnsi="Times New Roman" w:cs="Times New Roman"/>
        </w:rPr>
        <w:tab/>
        <w:t xml:space="preserve"> Chair of Governors </w:t>
      </w:r>
      <w:r w:rsidRPr="00D26B94">
        <w:rPr>
          <w:rFonts w:ascii="Times New Roman" w:eastAsia="Times New Roman" w:hAnsi="Times New Roman" w:cs="Times New Roman"/>
        </w:rPr>
        <w:tab/>
        <w:t>Date:</w:t>
      </w:r>
      <w:r w:rsidRPr="00D26B94">
        <w:rPr>
          <w:noProof/>
        </w:rPr>
        <mc:AlternateContent>
          <mc:Choice Requires="wpg">
            <w:drawing>
              <wp:anchor distT="0" distB="0" distL="114300" distR="114300" simplePos="0" relativeHeight="251660288" behindDoc="0" locked="0" layoutInCell="1" hidden="0" allowOverlap="1">
                <wp:simplePos x="0" y="0"/>
                <wp:positionH relativeFrom="column">
                  <wp:posOffset>609600</wp:posOffset>
                </wp:positionH>
                <wp:positionV relativeFrom="paragraph">
                  <wp:posOffset>88900</wp:posOffset>
                </wp:positionV>
                <wp:extent cx="2565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r w:rsidRPr="00D26B94">
        <w:rPr>
          <w:noProof/>
        </w:rPr>
        <mc:AlternateContent>
          <mc:Choice Requires="wpg">
            <w:drawing>
              <wp:anchor distT="0" distB="0" distL="114300" distR="114300" simplePos="0" relativeHeight="251661312" behindDoc="0" locked="0" layoutInCell="1" hidden="0" allowOverlap="1">
                <wp:simplePos x="0" y="0"/>
                <wp:positionH relativeFrom="column">
                  <wp:posOffset>5130800</wp:posOffset>
                </wp:positionH>
                <wp:positionV relativeFrom="paragraph">
                  <wp:posOffset>88900</wp:posOffset>
                </wp:positionV>
                <wp:extent cx="1422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22400" cy="12700"/>
                        </a:xfrm>
                        <a:prstGeom prst="rect"/>
                        <a:ln/>
                      </pic:spPr>
                    </pic:pic>
                  </a:graphicData>
                </a:graphic>
              </wp:anchor>
            </w:drawing>
          </mc:Fallback>
        </mc:AlternateContent>
      </w:r>
    </w:p>
    <w:p w:rsidR="0088165C" w:rsidRPr="00D26B94" w:rsidRDefault="0088165C">
      <w:pPr>
        <w:jc w:val="both"/>
        <w:rPr>
          <w:rFonts w:ascii="Times New Roman" w:eastAsia="Times New Roman" w:hAnsi="Times New Roman" w:cs="Times New Roman"/>
          <w:b/>
        </w:rPr>
      </w:pPr>
    </w:p>
    <w:p w:rsidR="0088165C" w:rsidRPr="00D26B94" w:rsidRDefault="002A248A">
      <w:pPr>
        <w:jc w:val="both"/>
        <w:rPr>
          <w:rFonts w:ascii="Times New Roman" w:eastAsia="Times New Roman" w:hAnsi="Times New Roman" w:cs="Times New Roman"/>
          <w:b/>
        </w:rPr>
      </w:pPr>
      <w:r w:rsidRPr="00D26B94">
        <w:rPr>
          <w:rFonts w:ascii="Times New Roman" w:eastAsia="Times New Roman" w:hAnsi="Times New Roman" w:cs="Times New Roman"/>
          <w:b/>
        </w:rPr>
        <w:t xml:space="preserve">Next Review Due: </w:t>
      </w:r>
      <w:r w:rsidRPr="00D26B94">
        <w:rPr>
          <w:rFonts w:ascii="Times New Roman" w:eastAsia="Times New Roman" w:hAnsi="Times New Roman" w:cs="Times New Roman"/>
          <w:b/>
        </w:rPr>
        <w:t>February 2021</w:t>
      </w:r>
    </w:p>
    <w:p w:rsidR="0088165C" w:rsidRPr="00D26B94" w:rsidRDefault="0088165C">
      <w:pPr>
        <w:jc w:val="both"/>
        <w:rPr>
          <w:rFonts w:ascii="Times New Roman" w:eastAsia="Times New Roman" w:hAnsi="Times New Roman" w:cs="Times New Roman"/>
          <w:b/>
        </w:rPr>
      </w:pPr>
      <w:bookmarkStart w:id="1" w:name="_GoBack"/>
      <w:bookmarkEnd w:id="1"/>
    </w:p>
    <w:sectPr w:rsidR="0088165C" w:rsidRPr="00D26B94">
      <w:footerReference w:type="default" r:id="rId11"/>
      <w:pgSz w:w="11906" w:h="16838"/>
      <w:pgMar w:top="993" w:right="707" w:bottom="851"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8A" w:rsidRDefault="002A248A">
      <w:r>
        <w:separator/>
      </w:r>
    </w:p>
  </w:endnote>
  <w:endnote w:type="continuationSeparator" w:id="0">
    <w:p w:rsidR="002A248A" w:rsidRDefault="002A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5C" w:rsidRDefault="002A248A">
    <w:pPr>
      <w:pBdr>
        <w:top w:val="nil"/>
        <w:left w:val="nil"/>
        <w:bottom w:val="nil"/>
        <w:right w:val="nil"/>
        <w:between w:val="nil"/>
      </w:pBdr>
      <w:tabs>
        <w:tab w:val="left" w:pos="840"/>
      </w:tabs>
      <w:rPr>
        <w:color w:val="000000"/>
        <w:sz w:val="20"/>
        <w:szCs w:val="20"/>
      </w:rPr>
    </w:pPr>
    <w:r>
      <w:rPr>
        <w:color w:val="000000"/>
        <w:sz w:val="20"/>
        <w:szCs w:val="20"/>
      </w:rPr>
      <w:fldChar w:fldCharType="begin"/>
    </w:r>
    <w:r>
      <w:rPr>
        <w:color w:val="000000"/>
        <w:sz w:val="20"/>
        <w:szCs w:val="20"/>
      </w:rPr>
      <w:instrText>PAGE</w:instrText>
    </w:r>
    <w:r w:rsidR="00D26B94">
      <w:rPr>
        <w:color w:val="000000"/>
        <w:sz w:val="20"/>
        <w:szCs w:val="20"/>
      </w:rPr>
      <w:fldChar w:fldCharType="separate"/>
    </w:r>
    <w:r w:rsidR="00D26B94">
      <w:rPr>
        <w:noProof/>
        <w:color w:val="000000"/>
        <w:sz w:val="20"/>
        <w:szCs w:val="20"/>
      </w:rPr>
      <w:t>3</w:t>
    </w:r>
    <w:r>
      <w:rPr>
        <w:color w:val="000000"/>
        <w:sz w:val="20"/>
        <w:szCs w:val="20"/>
      </w:rPr>
      <w:fldChar w:fldCharType="end"/>
    </w:r>
    <w:r>
      <w:rPr>
        <w:color w:val="000000"/>
        <w:sz w:val="20"/>
        <w:szCs w:val="20"/>
      </w:rPr>
      <w:tab/>
    </w:r>
    <w:r>
      <w:rPr>
        <w:sz w:val="20"/>
        <w:szCs w:val="20"/>
      </w:rPr>
      <w:t>February 2019</w:t>
    </w:r>
  </w:p>
  <w:p w:rsidR="0088165C" w:rsidRDefault="0088165C">
    <w:pPr>
      <w:pBdr>
        <w:top w:val="nil"/>
        <w:left w:val="nil"/>
        <w:bottom w:val="nil"/>
        <w:right w:val="nil"/>
        <w:between w:val="nil"/>
      </w:pBdr>
      <w:tabs>
        <w:tab w:val="center" w:pos="4513"/>
        <w:tab w:val="right" w:pos="9026"/>
      </w:tabs>
      <w:spacing w:after="148"/>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8A" w:rsidRDefault="002A248A">
      <w:r>
        <w:separator/>
      </w:r>
    </w:p>
  </w:footnote>
  <w:footnote w:type="continuationSeparator" w:id="0">
    <w:p w:rsidR="002A248A" w:rsidRDefault="002A24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56A6"/>
    <w:multiLevelType w:val="multilevel"/>
    <w:tmpl w:val="DE48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0A5BE0"/>
    <w:multiLevelType w:val="multilevel"/>
    <w:tmpl w:val="B1360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729B758B"/>
    <w:multiLevelType w:val="multilevel"/>
    <w:tmpl w:val="3AECDA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5C"/>
    <w:rsid w:val="002A248A"/>
    <w:rsid w:val="0088165C"/>
    <w:rsid w:val="00D2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874AF-E2F9-434D-A50B-33DACCA7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6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3</cp:revision>
  <cp:lastPrinted>2019-09-20T06:43:00Z</cp:lastPrinted>
  <dcterms:created xsi:type="dcterms:W3CDTF">2019-09-20T06:42:00Z</dcterms:created>
  <dcterms:modified xsi:type="dcterms:W3CDTF">2019-09-20T06:43:00Z</dcterms:modified>
</cp:coreProperties>
</file>