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45" w:rsidRPr="00CA1380" w:rsidRDefault="00EC1DDA" w:rsidP="005A792D">
      <w:pPr>
        <w:pStyle w:val="Title"/>
        <w:spacing w:after="0"/>
        <w:outlineLvl w:val="0"/>
        <w:rPr>
          <w:rFonts w:asciiTheme="minorHAnsi" w:hAnsiTheme="minorHAnsi" w:cs="Times New Roman"/>
          <w:bCs w:val="0"/>
          <w:sz w:val="32"/>
          <w:szCs w:val="32"/>
        </w:rPr>
      </w:pPr>
      <w:r w:rsidRPr="00CA1380">
        <w:rPr>
          <w:rFonts w:asciiTheme="minorHAnsi" w:hAnsiTheme="minorHAnsi" w:cs="Times New Roman"/>
          <w:bCs w:val="0"/>
          <w:sz w:val="32"/>
          <w:szCs w:val="32"/>
        </w:rPr>
        <w:t>OLDHAM HULME GRAMMAR SCHOOL</w:t>
      </w:r>
    </w:p>
    <w:p w:rsidR="00093F60" w:rsidRPr="00CA1380" w:rsidRDefault="00170132" w:rsidP="00533F45">
      <w:pPr>
        <w:pStyle w:val="Title"/>
        <w:spacing w:after="0"/>
        <w:outlineLvl w:val="0"/>
        <w:rPr>
          <w:rFonts w:asciiTheme="minorHAnsi" w:hAnsiTheme="minorHAnsi" w:cs="Times New Roman"/>
          <w:bCs w:val="0"/>
          <w:szCs w:val="28"/>
        </w:rPr>
      </w:pPr>
      <w:r w:rsidRPr="00CA1380">
        <w:rPr>
          <w:rFonts w:asciiTheme="minorHAnsi" w:hAnsiTheme="minorHAnsi" w:cs="Times New Roman"/>
          <w:bCs w:val="0"/>
          <w:szCs w:val="28"/>
        </w:rPr>
        <w:t xml:space="preserve">INTERNAL APPEALS </w:t>
      </w:r>
      <w:r w:rsidR="00FC1281">
        <w:rPr>
          <w:rFonts w:asciiTheme="minorHAnsi" w:hAnsiTheme="minorHAnsi" w:cs="Times New Roman"/>
          <w:bCs w:val="0"/>
          <w:szCs w:val="28"/>
        </w:rPr>
        <w:t>POLICY</w:t>
      </w:r>
    </w:p>
    <w:p w:rsidR="00104D6F" w:rsidRPr="00CA1380" w:rsidRDefault="00104D6F" w:rsidP="00104D6F">
      <w:pPr>
        <w:pStyle w:val="Title"/>
        <w:spacing w:after="0"/>
        <w:outlineLvl w:val="0"/>
        <w:rPr>
          <w:rFonts w:asciiTheme="minorHAnsi" w:hAnsiTheme="minorHAnsi" w:cs="Times New Roman"/>
          <w:b w:val="0"/>
          <w:bCs w:val="0"/>
          <w:i/>
          <w:sz w:val="22"/>
          <w:szCs w:val="22"/>
        </w:rPr>
      </w:pPr>
      <w:r w:rsidRPr="00CA1380">
        <w:rPr>
          <w:rFonts w:asciiTheme="minorHAnsi" w:hAnsiTheme="minorHAnsi" w:cs="Times New Roman"/>
          <w:b w:val="0"/>
          <w:bCs w:val="0"/>
          <w:i/>
          <w:sz w:val="22"/>
          <w:szCs w:val="22"/>
        </w:rPr>
        <w:t xml:space="preserve">This policy is applicable from </w:t>
      </w:r>
      <w:r w:rsidR="00A547B0" w:rsidRPr="00CA1380">
        <w:rPr>
          <w:rFonts w:asciiTheme="minorHAnsi" w:hAnsiTheme="minorHAnsi" w:cs="Times New Roman"/>
          <w:b w:val="0"/>
          <w:bCs w:val="0"/>
          <w:i/>
          <w:sz w:val="22"/>
          <w:szCs w:val="22"/>
        </w:rPr>
        <w:t xml:space="preserve">EYFS </w:t>
      </w:r>
      <w:r w:rsidR="00CE3D1B" w:rsidRPr="00CA1380">
        <w:rPr>
          <w:rFonts w:asciiTheme="minorHAnsi" w:hAnsiTheme="minorHAnsi" w:cs="Times New Roman"/>
          <w:b w:val="0"/>
          <w:bCs w:val="0"/>
          <w:i/>
          <w:sz w:val="22"/>
          <w:szCs w:val="22"/>
        </w:rPr>
        <w:t xml:space="preserve">through </w:t>
      </w:r>
      <w:r w:rsidRPr="00CA1380">
        <w:rPr>
          <w:rFonts w:asciiTheme="minorHAnsi" w:hAnsiTheme="minorHAnsi" w:cs="Times New Roman"/>
          <w:b w:val="0"/>
          <w:bCs w:val="0"/>
          <w:i/>
          <w:sz w:val="22"/>
          <w:szCs w:val="22"/>
        </w:rPr>
        <w:t>to year 13</w:t>
      </w:r>
    </w:p>
    <w:p w:rsidR="00093F60" w:rsidRPr="00CA1380" w:rsidRDefault="00093F60" w:rsidP="00093F60">
      <w:pPr>
        <w:rPr>
          <w:rFonts w:asciiTheme="minorHAnsi" w:hAnsiTheme="minorHAnsi"/>
          <w:spacing w:val="-2"/>
          <w:sz w:val="24"/>
          <w:szCs w:val="24"/>
          <w:lang w:val="en-US"/>
        </w:rPr>
      </w:pPr>
    </w:p>
    <w:p w:rsidR="00FC1281" w:rsidRPr="00FC1281" w:rsidRDefault="00FC1281" w:rsidP="00FC1281">
      <w:pPr>
        <w:rPr>
          <w:color w:val="auto"/>
          <w:sz w:val="24"/>
          <w:szCs w:val="24"/>
          <w:lang w:eastAsia="en-GB"/>
        </w:rPr>
      </w:pPr>
      <w:r w:rsidRPr="00FC1281">
        <w:rPr>
          <w:rFonts w:ascii="Calibri" w:hAnsi="Calibri"/>
          <w:b/>
          <w:bCs/>
          <w:sz w:val="24"/>
          <w:szCs w:val="24"/>
          <w:lang w:eastAsia="en-GB"/>
        </w:rPr>
        <w:t>Internal appeals against assessment decisions</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If a candidate does not agree with the coursework marks awarded by a teacher and the disagreement cannot be resolved by discussion between the teacher and candidate concerned, then the candidate may appeal to the examinations officer, who will put into action the agreed appeals procedure. This will be the final stage in the normal process of considering and resolving disputes. It is expected that it will be used only on exceptional circumstances.</w:t>
      </w:r>
    </w:p>
    <w:p w:rsidR="00FC1281" w:rsidRPr="00FC1281" w:rsidRDefault="00FC1281" w:rsidP="00FC1281">
      <w:pPr>
        <w:jc w:val="both"/>
        <w:rPr>
          <w:color w:val="auto"/>
          <w:sz w:val="24"/>
          <w:szCs w:val="24"/>
          <w:lang w:eastAsia="en-GB"/>
        </w:rPr>
      </w:pPr>
    </w:p>
    <w:p w:rsidR="00FC1281" w:rsidRPr="00FC1281" w:rsidRDefault="00FC1281" w:rsidP="00FC1281">
      <w:pPr>
        <w:numPr>
          <w:ilvl w:val="0"/>
          <w:numId w:val="5"/>
        </w:numPr>
        <w:ind w:left="360"/>
        <w:jc w:val="both"/>
        <w:textAlignment w:val="baseline"/>
        <w:rPr>
          <w:rFonts w:ascii="Calibri" w:hAnsi="Calibri"/>
          <w:sz w:val="22"/>
          <w:szCs w:val="22"/>
          <w:lang w:eastAsia="en-GB"/>
        </w:rPr>
      </w:pPr>
      <w:r w:rsidRPr="00FC1281">
        <w:rPr>
          <w:rFonts w:ascii="Calibri" w:hAnsi="Calibri"/>
          <w:sz w:val="22"/>
          <w:szCs w:val="22"/>
          <w:lang w:eastAsia="en-GB"/>
        </w:rPr>
        <w:t>The examinations officer is in overall charge of managing appeals relating to internal assessments.</w:t>
      </w:r>
    </w:p>
    <w:p w:rsidR="00FC1281" w:rsidRPr="00FC1281" w:rsidRDefault="00FC1281" w:rsidP="00FC1281">
      <w:pPr>
        <w:numPr>
          <w:ilvl w:val="0"/>
          <w:numId w:val="5"/>
        </w:numPr>
        <w:ind w:left="360" w:right="720"/>
        <w:jc w:val="both"/>
        <w:textAlignment w:val="baseline"/>
        <w:rPr>
          <w:rFonts w:ascii="Calibri" w:hAnsi="Calibri"/>
          <w:sz w:val="22"/>
          <w:szCs w:val="22"/>
          <w:lang w:eastAsia="en-GB"/>
        </w:rPr>
      </w:pPr>
      <w:r w:rsidRPr="00FC1281">
        <w:rPr>
          <w:rFonts w:ascii="Calibri" w:hAnsi="Calibri"/>
          <w:sz w:val="22"/>
          <w:szCs w:val="22"/>
          <w:lang w:eastAsia="en-GB"/>
        </w:rPr>
        <w:t>If a student wishes to appeal about his/her internal assessment marks then the following procedures should be followed:</w:t>
      </w:r>
    </w:p>
    <w:p w:rsidR="00FC1281" w:rsidRPr="00FC1281" w:rsidRDefault="00FC1281" w:rsidP="00FC1281">
      <w:pPr>
        <w:numPr>
          <w:ilvl w:val="0"/>
          <w:numId w:val="6"/>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appeal should be made in writing to the examinations officer stating the details of the complaint and the reasons for the appeal;</w:t>
      </w:r>
    </w:p>
    <w:p w:rsidR="00FC1281" w:rsidRPr="00FC1281" w:rsidRDefault="00FC1281" w:rsidP="00FC1281">
      <w:pPr>
        <w:numPr>
          <w:ilvl w:val="0"/>
          <w:numId w:val="6"/>
        </w:numPr>
        <w:ind w:left="780"/>
        <w:jc w:val="both"/>
        <w:textAlignment w:val="baseline"/>
        <w:rPr>
          <w:rFonts w:ascii="Arial" w:hAnsi="Arial" w:cs="Arial"/>
          <w:sz w:val="22"/>
          <w:szCs w:val="22"/>
          <w:lang w:eastAsia="en-GB"/>
        </w:rPr>
      </w:pPr>
      <w:proofErr w:type="gramStart"/>
      <w:r w:rsidRPr="00FC1281">
        <w:rPr>
          <w:rFonts w:ascii="Calibri" w:hAnsi="Calibri" w:cs="Arial"/>
          <w:sz w:val="22"/>
          <w:szCs w:val="22"/>
          <w:lang w:eastAsia="en-GB"/>
        </w:rPr>
        <w:t>the</w:t>
      </w:r>
      <w:proofErr w:type="gramEnd"/>
      <w:r w:rsidRPr="00FC1281">
        <w:rPr>
          <w:rFonts w:ascii="Calibri" w:hAnsi="Calibri" w:cs="Arial"/>
          <w:sz w:val="22"/>
          <w:szCs w:val="22"/>
          <w:lang w:eastAsia="en-GB"/>
        </w:rPr>
        <w:t xml:space="preserve"> appeal must be submitted before the end of the first week in May of the year in which the written examinations are taken.</w:t>
      </w:r>
    </w:p>
    <w:p w:rsidR="00FC1281" w:rsidRPr="00A417A8" w:rsidRDefault="00FC1281" w:rsidP="00FC1281">
      <w:pPr>
        <w:numPr>
          <w:ilvl w:val="0"/>
          <w:numId w:val="6"/>
        </w:numPr>
        <w:ind w:left="780"/>
        <w:jc w:val="both"/>
        <w:textAlignment w:val="baseline"/>
        <w:rPr>
          <w:rFonts w:ascii="Arial" w:hAnsi="Arial" w:cs="Arial"/>
          <w:sz w:val="22"/>
          <w:szCs w:val="22"/>
          <w:lang w:eastAsia="en-GB"/>
        </w:rPr>
      </w:pPr>
      <w:proofErr w:type="gramStart"/>
      <w:r w:rsidRPr="00FC1281">
        <w:rPr>
          <w:rFonts w:ascii="Calibri" w:hAnsi="Calibri" w:cs="Arial"/>
          <w:sz w:val="22"/>
          <w:szCs w:val="22"/>
          <w:lang w:eastAsia="en-GB"/>
        </w:rPr>
        <w:t>departments</w:t>
      </w:r>
      <w:proofErr w:type="gramEnd"/>
      <w:r w:rsidRPr="00FC1281">
        <w:rPr>
          <w:rFonts w:ascii="Calibri" w:hAnsi="Calibri" w:cs="Arial"/>
          <w:sz w:val="22"/>
          <w:szCs w:val="22"/>
          <w:lang w:eastAsia="en-GB"/>
        </w:rPr>
        <w:t xml:space="preserve"> therefore need to ensure that raw marks are available to candidates in advance of this date.</w:t>
      </w:r>
    </w:p>
    <w:p w:rsidR="00FC1281" w:rsidRPr="00FC1281" w:rsidRDefault="00FC1281" w:rsidP="00A417A8">
      <w:pPr>
        <w:numPr>
          <w:ilvl w:val="0"/>
          <w:numId w:val="7"/>
        </w:numPr>
        <w:ind w:left="426" w:hanging="426"/>
        <w:jc w:val="both"/>
        <w:textAlignment w:val="baseline"/>
        <w:rPr>
          <w:rFonts w:ascii="Calibri" w:hAnsi="Calibri"/>
          <w:sz w:val="22"/>
          <w:szCs w:val="22"/>
          <w:lang w:eastAsia="en-GB"/>
        </w:rPr>
      </w:pPr>
      <w:r w:rsidRPr="00FC1281">
        <w:rPr>
          <w:rFonts w:ascii="Calibri" w:hAnsi="Calibri"/>
          <w:sz w:val="22"/>
          <w:szCs w:val="22"/>
          <w:lang w:eastAsia="en-GB"/>
        </w:rPr>
        <w:t>The teacher(s) concerned in marking the assessment which is the subject of the appea</w:t>
      </w:r>
      <w:r w:rsidR="00A417A8">
        <w:rPr>
          <w:rFonts w:ascii="Calibri" w:hAnsi="Calibri"/>
          <w:sz w:val="22"/>
          <w:szCs w:val="22"/>
          <w:lang w:eastAsia="en-GB"/>
        </w:rPr>
        <w:t xml:space="preserve">l will respond to the </w:t>
      </w:r>
      <w:r w:rsidRPr="00FC1281">
        <w:rPr>
          <w:rFonts w:ascii="Calibri" w:hAnsi="Calibri"/>
          <w:sz w:val="22"/>
          <w:szCs w:val="22"/>
          <w:lang w:eastAsia="en-GB"/>
        </w:rPr>
        <w:t>appeal in writing to the examinations officer; a copy will be given to the candidate.</w:t>
      </w:r>
    </w:p>
    <w:p w:rsidR="00FC1281" w:rsidRPr="00FC1281" w:rsidRDefault="00FC1281" w:rsidP="00A417A8">
      <w:pPr>
        <w:numPr>
          <w:ilvl w:val="0"/>
          <w:numId w:val="8"/>
        </w:numPr>
        <w:ind w:left="360" w:right="864" w:hanging="360"/>
        <w:jc w:val="both"/>
        <w:textAlignment w:val="baseline"/>
        <w:rPr>
          <w:rFonts w:ascii="Calibri" w:hAnsi="Calibri"/>
          <w:sz w:val="22"/>
          <w:szCs w:val="22"/>
          <w:lang w:eastAsia="en-GB"/>
        </w:rPr>
      </w:pPr>
      <w:r w:rsidRPr="00FC1281">
        <w:rPr>
          <w:rFonts w:ascii="Calibri" w:hAnsi="Calibri"/>
          <w:sz w:val="22"/>
          <w:szCs w:val="22"/>
          <w:lang w:eastAsia="en-GB"/>
        </w:rPr>
        <w:t>If the candidate is not happy with the written response they have received, they can request a personal hearing before an appeals panel:</w:t>
      </w:r>
    </w:p>
    <w:p w:rsidR="00FC1281" w:rsidRPr="00FC1281" w:rsidRDefault="00FC1281" w:rsidP="00FC1281">
      <w:pPr>
        <w:numPr>
          <w:ilvl w:val="0"/>
          <w:numId w:val="9"/>
        </w:numPr>
        <w:ind w:left="780" w:right="288"/>
        <w:jc w:val="both"/>
        <w:textAlignment w:val="baseline"/>
        <w:rPr>
          <w:rFonts w:ascii="Arial" w:hAnsi="Arial" w:cs="Arial"/>
          <w:sz w:val="22"/>
          <w:szCs w:val="22"/>
          <w:lang w:eastAsia="en-GB"/>
        </w:rPr>
      </w:pPr>
      <w:r w:rsidRPr="00FC1281">
        <w:rPr>
          <w:rFonts w:ascii="Calibri" w:hAnsi="Calibri" w:cs="Arial"/>
          <w:sz w:val="22"/>
          <w:szCs w:val="22"/>
          <w:lang w:eastAsia="en-GB"/>
        </w:rPr>
        <w:t>the appeals panel will consist of the examinations officer and two of the following - the assistant examinations officer, the directors of pastoral care, a deputy principal, a school governor;</w:t>
      </w:r>
    </w:p>
    <w:p w:rsidR="00FC1281" w:rsidRPr="00FC1281" w:rsidRDefault="00FC1281" w:rsidP="00FC1281">
      <w:pPr>
        <w:numPr>
          <w:ilvl w:val="0"/>
          <w:numId w:val="9"/>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request for a personal hearing must be made within two days of receipt of the written  reply to the initial appeal;</w:t>
      </w:r>
    </w:p>
    <w:p w:rsidR="00FC1281" w:rsidRPr="00FC1281" w:rsidRDefault="00FC1281" w:rsidP="00FC1281">
      <w:pPr>
        <w:numPr>
          <w:ilvl w:val="0"/>
          <w:numId w:val="9"/>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 xml:space="preserve">the candidate will be given at least two </w:t>
      </w:r>
      <w:proofErr w:type="spellStart"/>
      <w:r w:rsidRPr="00FC1281">
        <w:rPr>
          <w:rFonts w:ascii="Calibri" w:hAnsi="Calibri" w:cs="Arial"/>
          <w:sz w:val="22"/>
          <w:szCs w:val="22"/>
          <w:lang w:eastAsia="en-GB"/>
        </w:rPr>
        <w:t>days notice</w:t>
      </w:r>
      <w:proofErr w:type="spellEnd"/>
      <w:r w:rsidRPr="00FC1281">
        <w:rPr>
          <w:rFonts w:ascii="Calibri" w:hAnsi="Calibri" w:cs="Arial"/>
          <w:sz w:val="22"/>
          <w:szCs w:val="22"/>
          <w:lang w:eastAsia="en-GB"/>
        </w:rPr>
        <w:t xml:space="preserve"> of the hearing date;</w:t>
      </w:r>
    </w:p>
    <w:p w:rsidR="00FC1281" w:rsidRPr="00FC1281" w:rsidRDefault="00FC1281" w:rsidP="00FC1281">
      <w:pPr>
        <w:numPr>
          <w:ilvl w:val="0"/>
          <w:numId w:val="9"/>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a breakdown of the marks awarded will be given to the candidate in advance of the appeal;</w:t>
      </w:r>
    </w:p>
    <w:p w:rsidR="00FC1281" w:rsidRPr="00FC1281" w:rsidRDefault="00FC1281" w:rsidP="00FC1281">
      <w:pPr>
        <w:numPr>
          <w:ilvl w:val="0"/>
          <w:numId w:val="9"/>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candidate may bring a parent/guardian to the hearing;</w:t>
      </w:r>
    </w:p>
    <w:p w:rsidR="00FC1281" w:rsidRPr="00FC1281" w:rsidRDefault="00FC1281" w:rsidP="00FC1281">
      <w:pPr>
        <w:numPr>
          <w:ilvl w:val="0"/>
          <w:numId w:val="9"/>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teacher(s) involved will be present at the hearing;</w:t>
      </w:r>
    </w:p>
    <w:p w:rsidR="00FC1281" w:rsidRPr="00FC1281" w:rsidRDefault="00FC1281" w:rsidP="00FC1281">
      <w:pPr>
        <w:numPr>
          <w:ilvl w:val="0"/>
          <w:numId w:val="10"/>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examinations officer will convey the outcome of an appeal and the reasons for that outcome in writing to the candidate;</w:t>
      </w:r>
    </w:p>
    <w:p w:rsidR="00FC1281" w:rsidRPr="00FC1281" w:rsidRDefault="00FC1281" w:rsidP="00FC1281">
      <w:pPr>
        <w:numPr>
          <w:ilvl w:val="0"/>
          <w:numId w:val="10"/>
        </w:numPr>
        <w:ind w:left="780"/>
        <w:jc w:val="both"/>
        <w:textAlignment w:val="baseline"/>
        <w:rPr>
          <w:rFonts w:ascii="Arial" w:hAnsi="Arial" w:cs="Arial"/>
          <w:sz w:val="22"/>
          <w:szCs w:val="22"/>
          <w:lang w:eastAsia="en-GB"/>
        </w:rPr>
      </w:pPr>
      <w:r w:rsidRPr="00FC1281">
        <w:rPr>
          <w:rFonts w:ascii="Calibri" w:hAnsi="Calibri" w:cs="Arial"/>
          <w:sz w:val="22"/>
          <w:szCs w:val="22"/>
          <w:lang w:eastAsia="en-GB"/>
        </w:rPr>
        <w:t>the school will maintain a written record of all appeals;</w:t>
      </w:r>
    </w:p>
    <w:p w:rsidR="00FC1281" w:rsidRPr="00FC1281" w:rsidRDefault="00FC1281" w:rsidP="00FC1281">
      <w:pPr>
        <w:numPr>
          <w:ilvl w:val="0"/>
          <w:numId w:val="10"/>
        </w:numPr>
        <w:ind w:left="780"/>
        <w:jc w:val="both"/>
        <w:textAlignment w:val="baseline"/>
        <w:rPr>
          <w:rFonts w:ascii="Arial" w:hAnsi="Arial" w:cs="Arial"/>
          <w:sz w:val="22"/>
          <w:szCs w:val="22"/>
          <w:lang w:eastAsia="en-GB"/>
        </w:rPr>
      </w:pPr>
      <w:proofErr w:type="gramStart"/>
      <w:r w:rsidRPr="00FC1281">
        <w:rPr>
          <w:rFonts w:ascii="Calibri" w:hAnsi="Calibri" w:cs="Arial"/>
          <w:sz w:val="22"/>
          <w:szCs w:val="22"/>
          <w:lang w:eastAsia="en-GB"/>
        </w:rPr>
        <w:t>the</w:t>
      </w:r>
      <w:proofErr w:type="gramEnd"/>
      <w:r w:rsidRPr="00FC1281">
        <w:rPr>
          <w:rFonts w:ascii="Calibri" w:hAnsi="Calibri" w:cs="Arial"/>
          <w:sz w:val="22"/>
          <w:szCs w:val="22"/>
          <w:lang w:eastAsia="en-GB"/>
        </w:rPr>
        <w:t xml:space="preserve"> school will inform the awarding bodies (examining boards) of any change to an internally assessed mark as a result of an appeal.</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Appeals procedure against centre decisions not to support an enquiry about results</w:t>
      </w:r>
    </w:p>
    <w:p w:rsidR="00FC1281" w:rsidRPr="00FC1281" w:rsidRDefault="00FC1281" w:rsidP="00FC1281">
      <w:pPr>
        <w:jc w:val="both"/>
        <w:rPr>
          <w:color w:val="auto"/>
          <w:sz w:val="24"/>
          <w:szCs w:val="24"/>
          <w:lang w:eastAsia="en-GB"/>
        </w:rPr>
      </w:pPr>
      <w:proofErr w:type="gramStart"/>
      <w:r w:rsidRPr="00FC1281">
        <w:rPr>
          <w:rFonts w:ascii="Calibri" w:hAnsi="Calibri"/>
          <w:sz w:val="22"/>
          <w:szCs w:val="22"/>
          <w:lang w:eastAsia="en-GB"/>
        </w:rPr>
        <w:t>Following the issue of results, the general qualification awarding bodies offer</w:t>
      </w:r>
      <w:hyperlink r:id="rId8" w:history="1">
        <w:r w:rsidRPr="00FC1281">
          <w:rPr>
            <w:rFonts w:ascii="Calibri" w:hAnsi="Calibri"/>
            <w:sz w:val="22"/>
            <w:szCs w:val="22"/>
            <w:lang w:eastAsia="en-GB"/>
          </w:rPr>
          <w:t xml:space="preserve"> </w:t>
        </w:r>
        <w:r w:rsidRPr="00FC1281">
          <w:rPr>
            <w:rFonts w:ascii="Calibri" w:hAnsi="Calibri"/>
            <w:color w:val="1155CC"/>
            <w:sz w:val="22"/>
            <w:szCs w:val="22"/>
            <w:u w:val="single"/>
            <w:lang w:eastAsia="en-GB"/>
          </w:rPr>
          <w:t>post-results services</w:t>
        </w:r>
      </w:hyperlink>
      <w:r w:rsidRPr="00FC1281">
        <w:rPr>
          <w:rFonts w:ascii="Calibri" w:hAnsi="Calibri"/>
          <w:sz w:val="22"/>
          <w:szCs w:val="22"/>
          <w:lang w:eastAsia="en-GB"/>
        </w:rPr>
        <w:t>.</w:t>
      </w:r>
      <w:proofErr w:type="gramEnd"/>
      <w:r w:rsidRPr="00FC1281">
        <w:rPr>
          <w:rFonts w:ascii="Calibri" w:hAnsi="Calibri"/>
          <w:sz w:val="22"/>
          <w:szCs w:val="22"/>
          <w:lang w:eastAsia="en-GB"/>
        </w:rPr>
        <w:t xml:space="preserve"> Full details of these services, internal deadlines for requesting a service and fees charged wil</w:t>
      </w:r>
      <w:r>
        <w:rPr>
          <w:rFonts w:ascii="Calibri" w:hAnsi="Calibri"/>
          <w:sz w:val="22"/>
          <w:szCs w:val="22"/>
          <w:lang w:eastAsia="en-GB"/>
        </w:rPr>
        <w:t xml:space="preserve">l be provided by the </w:t>
      </w:r>
      <w:proofErr w:type="spellStart"/>
      <w:r>
        <w:rPr>
          <w:rFonts w:ascii="Calibri" w:hAnsi="Calibri"/>
          <w:sz w:val="22"/>
          <w:szCs w:val="22"/>
          <w:lang w:eastAsia="en-GB"/>
        </w:rPr>
        <w:t>examintion</w:t>
      </w:r>
      <w:proofErr w:type="spellEnd"/>
      <w:r w:rsidRPr="00FC1281">
        <w:rPr>
          <w:rFonts w:ascii="Calibri" w:hAnsi="Calibri"/>
          <w:sz w:val="22"/>
          <w:szCs w:val="22"/>
          <w:lang w:eastAsia="en-GB"/>
        </w:rPr>
        <w:t xml:space="preserve"> officer.</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 xml:space="preserve">The service, </w:t>
      </w:r>
      <w:r w:rsidRPr="00FC1281">
        <w:rPr>
          <w:rFonts w:ascii="Calibri" w:hAnsi="Calibri"/>
          <w:i/>
          <w:iCs/>
          <w:sz w:val="22"/>
          <w:szCs w:val="22"/>
          <w:lang w:eastAsia="en-GB"/>
        </w:rPr>
        <w:t>enquiries about results</w:t>
      </w:r>
      <w:r w:rsidRPr="00FC1281">
        <w:rPr>
          <w:rFonts w:ascii="Calibri" w:hAnsi="Calibri"/>
          <w:sz w:val="22"/>
          <w:szCs w:val="22"/>
          <w:lang w:eastAsia="en-GB"/>
        </w:rPr>
        <w:t xml:space="preserve"> (EARs), may be requested by centre staff or </w:t>
      </w:r>
      <w:proofErr w:type="gramStart"/>
      <w:r w:rsidRPr="00FC1281">
        <w:rPr>
          <w:rFonts w:ascii="Calibri" w:hAnsi="Calibri"/>
          <w:sz w:val="22"/>
          <w:szCs w:val="22"/>
          <w:lang w:eastAsia="en-GB"/>
        </w:rPr>
        <w:t>candidates (or their parents/carers) if there are reasonable grounds for believing there has</w:t>
      </w:r>
      <w:proofErr w:type="gramEnd"/>
      <w:r w:rsidRPr="00FC1281">
        <w:rPr>
          <w:rFonts w:ascii="Calibri" w:hAnsi="Calibri"/>
          <w:sz w:val="22"/>
          <w:szCs w:val="22"/>
          <w:lang w:eastAsia="en-GB"/>
        </w:rPr>
        <w:t xml:space="preserve"> been an error in marking.</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If a query is raised about a particular examination result, the examinations officer, teaching staff and head of centre will investigate the feasibility of requesting an enquiry at the centre’s expense.</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When Oldham Hulme Grammar School does not uphold a request from a candidate, the candidate may pay the appropriate fee, and a request will be made to the awarding body on the candidate’s behalf.</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If the candidate (or their parent/carer) believes there are grounds to appeal against the centre’s decision not to support an enquiry, an appeal can be submitted to the centre using the internal appeals form at least one week prior to the internal deadline for submitting an EAR.</w:t>
      </w:r>
    </w:p>
    <w:p w:rsidR="00FC1281" w:rsidRDefault="00FC1281" w:rsidP="00FC1281">
      <w:pPr>
        <w:jc w:val="both"/>
        <w:rPr>
          <w:rFonts w:ascii="Calibri" w:hAnsi="Calibri"/>
          <w:b/>
          <w:bCs/>
          <w:sz w:val="22"/>
          <w:szCs w:val="22"/>
          <w:lang w:eastAsia="en-GB"/>
        </w:rPr>
      </w:pPr>
    </w:p>
    <w:p w:rsidR="00FC1281" w:rsidRDefault="00FC1281" w:rsidP="00FC1281">
      <w:pPr>
        <w:jc w:val="both"/>
        <w:rPr>
          <w:rFonts w:ascii="Calibri" w:hAnsi="Calibri"/>
          <w:b/>
          <w:bCs/>
          <w:sz w:val="22"/>
          <w:szCs w:val="22"/>
          <w:lang w:eastAsia="en-GB"/>
        </w:rPr>
      </w:pPr>
    </w:p>
    <w:p w:rsidR="00FC1281" w:rsidRDefault="00FC1281" w:rsidP="00FC1281">
      <w:pPr>
        <w:jc w:val="both"/>
        <w:rPr>
          <w:rFonts w:ascii="Calibri" w:hAnsi="Calibri"/>
          <w:b/>
          <w:bCs/>
          <w:sz w:val="22"/>
          <w:szCs w:val="22"/>
          <w:lang w:eastAsia="en-GB"/>
        </w:rPr>
      </w:pPr>
    </w:p>
    <w:p w:rsidR="00A417A8" w:rsidRDefault="00A417A8" w:rsidP="00FC1281">
      <w:pPr>
        <w:jc w:val="both"/>
        <w:rPr>
          <w:rFonts w:ascii="Calibri" w:hAnsi="Calibri"/>
          <w:b/>
          <w:bCs/>
          <w:sz w:val="22"/>
          <w:szCs w:val="22"/>
          <w:lang w:eastAsia="en-GB"/>
        </w:rPr>
      </w:pP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lastRenderedPageBreak/>
        <w:t>Appeals procedure following the outcome of an enquiry about results</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Where the head of centre remains dissatisfied after receiving the outcome of an EARs, an appeal will be made to the awarding body, following the guidance in the JCQ publications Post</w:t>
      </w:r>
      <w:r w:rsidRPr="00FC1281">
        <w:rPr>
          <w:rFonts w:ascii="Calibri" w:hAnsi="Calibri"/>
          <w:i/>
          <w:iCs/>
          <w:sz w:val="22"/>
          <w:szCs w:val="22"/>
          <w:lang w:eastAsia="en-GB"/>
        </w:rPr>
        <w:t>-results services</w:t>
      </w:r>
      <w:hyperlink r:id="rId9" w:history="1">
        <w:r w:rsidRPr="00FC1281">
          <w:rPr>
            <w:rFonts w:ascii="Calibri" w:hAnsi="Calibri"/>
            <w:i/>
            <w:iCs/>
            <w:sz w:val="22"/>
            <w:szCs w:val="22"/>
            <w:lang w:eastAsia="en-GB"/>
          </w:rPr>
          <w:t xml:space="preserve"> </w:t>
        </w:r>
        <w:r w:rsidRPr="00FC1281">
          <w:rPr>
            <w:rFonts w:ascii="Calibri" w:hAnsi="Calibri"/>
            <w:color w:val="1155CC"/>
            <w:sz w:val="22"/>
            <w:szCs w:val="22"/>
            <w:u w:val="single"/>
            <w:lang w:eastAsia="en-GB"/>
          </w:rPr>
          <w:t>http://www.jcq.org.uk/exams-office/post-results-services</w:t>
        </w:r>
      </w:hyperlink>
      <w:r w:rsidRPr="00FC1281">
        <w:rPr>
          <w:rFonts w:ascii="Calibri" w:hAnsi="Calibri"/>
          <w:sz w:val="22"/>
          <w:szCs w:val="22"/>
          <w:lang w:eastAsia="en-GB"/>
        </w:rPr>
        <w:t xml:space="preserve"> and </w:t>
      </w:r>
      <w:proofErr w:type="gramStart"/>
      <w:r w:rsidRPr="00FC1281">
        <w:rPr>
          <w:rFonts w:ascii="Calibri" w:hAnsi="Calibri"/>
          <w:i/>
          <w:iCs/>
          <w:sz w:val="22"/>
          <w:szCs w:val="22"/>
          <w:lang w:eastAsia="en-GB"/>
        </w:rPr>
        <w:t>A</w:t>
      </w:r>
      <w:proofErr w:type="gramEnd"/>
      <w:r w:rsidRPr="00FC1281">
        <w:rPr>
          <w:rFonts w:ascii="Calibri" w:hAnsi="Calibri"/>
          <w:i/>
          <w:iCs/>
          <w:sz w:val="22"/>
          <w:szCs w:val="22"/>
          <w:lang w:eastAsia="en-GB"/>
        </w:rPr>
        <w:t xml:space="preserve"> guide to the awarding bodies’ appeals processes</w:t>
      </w:r>
      <w:hyperlink r:id="rId10" w:history="1">
        <w:r w:rsidRPr="00FC1281">
          <w:rPr>
            <w:rFonts w:ascii="Calibri" w:hAnsi="Calibri"/>
            <w:i/>
            <w:iCs/>
            <w:sz w:val="22"/>
            <w:szCs w:val="22"/>
            <w:lang w:eastAsia="en-GB"/>
          </w:rPr>
          <w:t xml:space="preserve"> </w:t>
        </w:r>
        <w:r w:rsidRPr="00FC1281">
          <w:rPr>
            <w:rFonts w:ascii="Calibri" w:hAnsi="Calibri"/>
            <w:color w:val="1155CC"/>
            <w:sz w:val="22"/>
            <w:szCs w:val="22"/>
            <w:u w:val="single"/>
            <w:lang w:eastAsia="en-GB"/>
          </w:rPr>
          <w:t>http://www.jcq.org.uk/exams-office/appeals</w:t>
        </w:r>
      </w:hyperlink>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Where the head of centre is satisfied after receiving the outcome of an EAR, but the internal candidates and/or their parents/carers are not satisfied, they may make a further representation to the head of centre. Following this, the head of centre’s decision as to whether to proceed with an appeal will be based upon the centre’s internal appeals arrangements.  Candidates, parents/carers are not permitted to make direct representations to an awarding body.</w:t>
      </w:r>
    </w:p>
    <w:p w:rsidR="00FC1281" w:rsidRDefault="00FC1281" w:rsidP="00FC1281">
      <w:pPr>
        <w:jc w:val="both"/>
        <w:rPr>
          <w:rFonts w:ascii="Calibri" w:hAnsi="Calibri"/>
          <w:sz w:val="22"/>
          <w:szCs w:val="22"/>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The</w:t>
      </w:r>
      <w:r w:rsidRPr="00FC1281">
        <w:rPr>
          <w:rFonts w:ascii="Calibri" w:hAnsi="Calibri"/>
          <w:b/>
          <w:bCs/>
          <w:sz w:val="22"/>
          <w:szCs w:val="22"/>
          <w:lang w:eastAsia="en-GB"/>
        </w:rPr>
        <w:t xml:space="preserve"> internal appeals form</w:t>
      </w:r>
      <w:r w:rsidRPr="00FC1281">
        <w:rPr>
          <w:rFonts w:ascii="Calibri" w:hAnsi="Calibri"/>
          <w:sz w:val="22"/>
          <w:szCs w:val="22"/>
          <w:lang w:eastAsia="en-GB"/>
        </w:rPr>
        <w:t xml:space="preserve"> should be completed and submitted to the centre within </w:t>
      </w:r>
      <w:r w:rsidRPr="00FC1281">
        <w:rPr>
          <w:rFonts w:ascii="Calibri" w:hAnsi="Calibri"/>
          <w:b/>
          <w:bCs/>
          <w:sz w:val="22"/>
          <w:szCs w:val="22"/>
          <w:lang w:eastAsia="en-GB"/>
        </w:rPr>
        <w:t>10 calendar days</w:t>
      </w:r>
      <w:r w:rsidRPr="00FC1281">
        <w:rPr>
          <w:rFonts w:ascii="Calibri" w:hAnsi="Calibri"/>
          <w:sz w:val="22"/>
          <w:szCs w:val="22"/>
          <w:lang w:eastAsia="en-GB"/>
        </w:rPr>
        <w:t xml:space="preserve"> 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on the internal appeals form. If the appeal is upheld by the awarding body, this fee will be refunded by the awarding body and repaid to the appellant by the centre.</w:t>
      </w:r>
    </w:p>
    <w:p w:rsidR="00FC1281" w:rsidRPr="00FC1281" w:rsidRDefault="00FC1281" w:rsidP="00FC1281">
      <w:pPr>
        <w:jc w:val="both"/>
        <w:rPr>
          <w:color w:val="auto"/>
          <w:sz w:val="24"/>
          <w:szCs w:val="24"/>
          <w:lang w:eastAsia="en-GB"/>
        </w:rPr>
      </w:pPr>
    </w:p>
    <w:p w:rsidR="00FC1281" w:rsidRDefault="00FC1281">
      <w:pPr>
        <w:rPr>
          <w:rFonts w:ascii="Calibri" w:hAnsi="Calibri"/>
          <w:b/>
          <w:bCs/>
          <w:sz w:val="22"/>
          <w:szCs w:val="22"/>
          <w:lang w:eastAsia="en-GB"/>
        </w:rPr>
      </w:pPr>
      <w:r>
        <w:rPr>
          <w:rFonts w:ascii="Calibri" w:hAnsi="Calibri"/>
          <w:b/>
          <w:bCs/>
          <w:sz w:val="22"/>
          <w:szCs w:val="22"/>
          <w:lang w:eastAsia="en-GB"/>
        </w:rPr>
        <w:br w:type="page"/>
      </w: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lastRenderedPageBreak/>
        <w:t>Internal appeals form</w:t>
      </w:r>
    </w:p>
    <w:p w:rsidR="00FC1281" w:rsidRPr="00FC1281" w:rsidRDefault="00FC1281" w:rsidP="00FC1281">
      <w:pPr>
        <w:jc w:val="both"/>
        <w:rPr>
          <w:color w:val="auto"/>
          <w:sz w:val="24"/>
          <w:szCs w:val="24"/>
          <w:lang w:eastAsia="en-GB"/>
        </w:rPr>
      </w:pPr>
      <w:r w:rsidRPr="00FC1281">
        <w:rPr>
          <w:rFonts w:ascii="Calibri" w:hAnsi="Calibri"/>
          <w:bCs/>
          <w:sz w:val="22"/>
          <w:szCs w:val="22"/>
          <w:lang w:eastAsia="en-GB"/>
        </w:rPr>
        <w:t>This form should be completed in all cases to lodge an appeal.</w:t>
      </w:r>
    </w:p>
    <w:p w:rsidR="00FC1281" w:rsidRPr="00FC1281" w:rsidRDefault="00FC1281" w:rsidP="00FC1281">
      <w:pPr>
        <w:jc w:val="both"/>
        <w:rPr>
          <w:color w:val="auto"/>
          <w:sz w:val="24"/>
          <w:szCs w:val="24"/>
          <w:lang w:eastAsia="en-GB"/>
        </w:rPr>
      </w:pPr>
      <w:r w:rsidRPr="00FC1281">
        <w:rPr>
          <w:rFonts w:ascii="Calibri" w:hAnsi="Calibri"/>
          <w:bCs/>
          <w:sz w:val="22"/>
          <w:szCs w:val="22"/>
          <w:lang w:eastAsia="en-GB"/>
        </w:rPr>
        <w:t>Please tick to indicate what the appeal is against:</w:t>
      </w:r>
    </w:p>
    <w:p w:rsidR="00FC1281" w:rsidRPr="00FC1281" w:rsidRDefault="00FC1281" w:rsidP="00FC1281">
      <w:pPr>
        <w:numPr>
          <w:ilvl w:val="0"/>
          <w:numId w:val="11"/>
        </w:numPr>
        <w:ind w:left="1440"/>
        <w:jc w:val="both"/>
        <w:textAlignment w:val="baseline"/>
        <w:rPr>
          <w:rFonts w:ascii="Calibri" w:hAnsi="Calibri"/>
          <w:bCs/>
          <w:sz w:val="22"/>
          <w:szCs w:val="22"/>
          <w:lang w:eastAsia="en-GB"/>
        </w:rPr>
      </w:pPr>
      <w:r w:rsidRPr="00FC1281">
        <w:rPr>
          <w:rFonts w:ascii="Calibri" w:hAnsi="Calibri"/>
          <w:bCs/>
          <w:sz w:val="22"/>
          <w:szCs w:val="22"/>
          <w:lang w:eastAsia="en-GB"/>
        </w:rPr>
        <w:t>internally assessed marks</w:t>
      </w:r>
    </w:p>
    <w:p w:rsidR="00FC1281" w:rsidRPr="00FC1281" w:rsidRDefault="00FC1281" w:rsidP="00FC1281">
      <w:pPr>
        <w:numPr>
          <w:ilvl w:val="0"/>
          <w:numId w:val="11"/>
        </w:numPr>
        <w:ind w:left="1440"/>
        <w:jc w:val="both"/>
        <w:textAlignment w:val="baseline"/>
        <w:rPr>
          <w:rFonts w:ascii="Calibri" w:hAnsi="Calibri"/>
          <w:bCs/>
          <w:sz w:val="22"/>
          <w:szCs w:val="22"/>
          <w:lang w:eastAsia="en-GB"/>
        </w:rPr>
      </w:pPr>
      <w:r w:rsidRPr="00FC1281">
        <w:rPr>
          <w:rFonts w:ascii="Calibri" w:hAnsi="Calibri"/>
          <w:bCs/>
          <w:sz w:val="22"/>
          <w:szCs w:val="22"/>
          <w:lang w:eastAsia="en-GB"/>
        </w:rPr>
        <w:t>the outcome of an enquiry about results</w:t>
      </w:r>
    </w:p>
    <w:p w:rsidR="00FC1281" w:rsidRPr="00FC1281" w:rsidRDefault="00FC1281" w:rsidP="00FC1281">
      <w:pPr>
        <w:numPr>
          <w:ilvl w:val="0"/>
          <w:numId w:val="11"/>
        </w:numPr>
        <w:ind w:left="1440"/>
        <w:jc w:val="both"/>
        <w:textAlignment w:val="baseline"/>
        <w:rPr>
          <w:rFonts w:ascii="Calibri" w:hAnsi="Calibri"/>
          <w:bCs/>
          <w:sz w:val="22"/>
          <w:szCs w:val="22"/>
          <w:lang w:eastAsia="en-GB"/>
        </w:rPr>
      </w:pPr>
      <w:r w:rsidRPr="00FC1281">
        <w:rPr>
          <w:rFonts w:ascii="Calibri" w:hAnsi="Calibri"/>
          <w:bCs/>
          <w:sz w:val="22"/>
          <w:szCs w:val="22"/>
          <w:lang w:eastAsia="en-GB"/>
        </w:rPr>
        <w:t>the centre decision not to support an enquiry about results</w:t>
      </w:r>
    </w:p>
    <w:p w:rsidR="00FC1281" w:rsidRPr="00FC1281" w:rsidRDefault="00FC1281" w:rsidP="00FC1281">
      <w:pPr>
        <w:jc w:val="both"/>
        <w:rPr>
          <w:color w:val="auto"/>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87"/>
        <w:gridCol w:w="2918"/>
        <w:gridCol w:w="2026"/>
        <w:gridCol w:w="3277"/>
      </w:tblGrid>
      <w:tr w:rsidR="00FC1281" w:rsidRPr="00FC1281" w:rsidTr="00A417A8">
        <w:trPr>
          <w:trHeight w:val="660"/>
        </w:trPr>
        <w:tc>
          <w:tcPr>
            <w:tcW w:w="2187" w:type="dxa"/>
            <w:tcBorders>
              <w:top w:val="single" w:sz="6" w:space="0" w:color="000000"/>
              <w:left w:val="single" w:sz="6" w:space="0" w:color="000000"/>
              <w:bottom w:val="single" w:sz="6" w:space="0" w:color="000000"/>
              <w:right w:val="single" w:sz="6" w:space="0" w:color="000000"/>
            </w:tcBorders>
            <w:shd w:val="clear" w:color="auto" w:fill="548DD4"/>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color w:val="FFFFFF"/>
                <w:sz w:val="22"/>
                <w:szCs w:val="22"/>
                <w:shd w:val="clear" w:color="auto" w:fill="548DD4"/>
                <w:lang w:eastAsia="en-GB"/>
              </w:rPr>
              <w:t>Name of Student</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c>
          <w:tcPr>
            <w:tcW w:w="2026" w:type="dxa"/>
            <w:tcBorders>
              <w:top w:val="single" w:sz="6" w:space="0" w:color="000000"/>
              <w:left w:val="single" w:sz="6" w:space="0" w:color="000000"/>
              <w:bottom w:val="single" w:sz="6" w:space="0" w:color="000000"/>
              <w:right w:val="single" w:sz="6" w:space="0" w:color="000000"/>
            </w:tcBorders>
            <w:shd w:val="clear" w:color="auto" w:fill="548DD4"/>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color w:val="FFFFFF"/>
                <w:sz w:val="22"/>
                <w:szCs w:val="22"/>
                <w:shd w:val="clear" w:color="auto" w:fill="548DD4"/>
                <w:lang w:eastAsia="en-GB"/>
              </w:rPr>
              <w:t>Date of Birth</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r>
      <w:tr w:rsidR="00FC1281" w:rsidRPr="00FC1281" w:rsidTr="00A417A8">
        <w:trPr>
          <w:trHeight w:val="600"/>
        </w:trPr>
        <w:tc>
          <w:tcPr>
            <w:tcW w:w="2187"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sz w:val="22"/>
                <w:szCs w:val="22"/>
                <w:shd w:val="clear" w:color="auto" w:fill="C6D9F1"/>
                <w:lang w:eastAsia="en-GB"/>
              </w:rPr>
              <w:t>Awarding body</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c>
          <w:tcPr>
            <w:tcW w:w="2026"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sz w:val="22"/>
                <w:szCs w:val="22"/>
                <w:shd w:val="clear" w:color="auto" w:fill="C6D9F1"/>
                <w:lang w:eastAsia="en-GB"/>
              </w:rPr>
              <w:t>Exam paper code</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r>
      <w:tr w:rsidR="00FC1281" w:rsidRPr="00FC1281" w:rsidTr="00A417A8">
        <w:trPr>
          <w:trHeight w:val="555"/>
        </w:trPr>
        <w:tc>
          <w:tcPr>
            <w:tcW w:w="2187"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sz w:val="22"/>
                <w:szCs w:val="22"/>
                <w:shd w:val="clear" w:color="auto" w:fill="C6D9F1"/>
                <w:lang w:eastAsia="en-GB"/>
              </w:rPr>
              <w:t>Subject</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c>
          <w:tcPr>
            <w:tcW w:w="2026"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hideMark/>
          </w:tcPr>
          <w:p w:rsidR="00FC1281" w:rsidRPr="00FC1281" w:rsidRDefault="00FC1281" w:rsidP="00FC1281">
            <w:pPr>
              <w:jc w:val="both"/>
              <w:rPr>
                <w:color w:val="auto"/>
                <w:sz w:val="24"/>
                <w:szCs w:val="24"/>
                <w:lang w:eastAsia="en-GB"/>
              </w:rPr>
            </w:pPr>
            <w:r w:rsidRPr="00FC1281">
              <w:rPr>
                <w:rFonts w:ascii="Calibri" w:hAnsi="Calibri"/>
                <w:b/>
                <w:bCs/>
                <w:sz w:val="22"/>
                <w:szCs w:val="22"/>
                <w:shd w:val="clear" w:color="auto" w:fill="C6D9F1"/>
                <w:lang w:eastAsia="en-GB"/>
              </w:rPr>
              <w:t>Exam paper title</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rPr>
                <w:color w:val="auto"/>
                <w:sz w:val="24"/>
                <w:szCs w:val="24"/>
                <w:lang w:eastAsia="en-GB"/>
              </w:rPr>
            </w:pPr>
          </w:p>
        </w:tc>
      </w:tr>
      <w:tr w:rsidR="00FC1281" w:rsidRPr="00FC1281" w:rsidTr="00A417A8">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Please state the grounds for your appeal below:</w:t>
            </w:r>
          </w:p>
          <w:p w:rsidR="00FC1281" w:rsidRPr="00FC1281" w:rsidRDefault="00FC1281" w:rsidP="00FC1281">
            <w:pPr>
              <w:jc w:val="both"/>
              <w:rPr>
                <w:color w:val="auto"/>
                <w:sz w:val="24"/>
                <w:szCs w:val="24"/>
                <w:lang w:eastAsia="en-GB"/>
              </w:rPr>
            </w:pPr>
          </w:p>
          <w:p w:rsidR="00FC1281" w:rsidRDefault="00FC1281" w:rsidP="00FC1281">
            <w:pPr>
              <w:jc w:val="both"/>
              <w:rPr>
                <w:color w:val="auto"/>
                <w:sz w:val="24"/>
                <w:szCs w:val="24"/>
                <w:lang w:eastAsia="en-GB"/>
              </w:rPr>
            </w:pPr>
          </w:p>
          <w:p w:rsidR="00FC1281" w:rsidRDefault="00FC1281" w:rsidP="00FC1281">
            <w:pPr>
              <w:jc w:val="both"/>
              <w:rPr>
                <w:color w:val="auto"/>
                <w:sz w:val="24"/>
                <w:szCs w:val="24"/>
                <w:lang w:eastAsia="en-GB"/>
              </w:rPr>
            </w:pPr>
          </w:p>
          <w:p w:rsidR="00FC1281" w:rsidRDefault="00FC1281" w:rsidP="00FC1281">
            <w:pPr>
              <w:jc w:val="both"/>
              <w:rPr>
                <w:color w:val="auto"/>
                <w:sz w:val="24"/>
                <w:szCs w:val="24"/>
                <w:lang w:eastAsia="en-GB"/>
              </w:rPr>
            </w:pPr>
          </w:p>
          <w:p w:rsidR="00FC1281" w:rsidRDefault="00FC1281" w:rsidP="00FC1281">
            <w:pPr>
              <w:jc w:val="both"/>
              <w:rPr>
                <w:color w:val="auto"/>
                <w:sz w:val="24"/>
                <w:szCs w:val="24"/>
                <w:lang w:eastAsia="en-GB"/>
              </w:rPr>
            </w:pPr>
          </w:p>
          <w:p w:rsidR="00A417A8" w:rsidRDefault="00A417A8" w:rsidP="00FC1281">
            <w:pPr>
              <w:jc w:val="both"/>
              <w:rPr>
                <w:color w:val="auto"/>
                <w:sz w:val="24"/>
                <w:szCs w:val="24"/>
                <w:lang w:eastAsia="en-GB"/>
              </w:rPr>
            </w:pPr>
          </w:p>
          <w:p w:rsid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p>
          <w:p w:rsidR="00FC1281" w:rsidRPr="00FC1281" w:rsidRDefault="00FC1281" w:rsidP="00FC1281">
            <w:pPr>
              <w:spacing w:line="0" w:lineRule="atLeast"/>
              <w:jc w:val="right"/>
              <w:rPr>
                <w:color w:val="auto"/>
                <w:sz w:val="24"/>
                <w:szCs w:val="24"/>
                <w:lang w:eastAsia="en-GB"/>
              </w:rPr>
            </w:pPr>
          </w:p>
        </w:tc>
      </w:tr>
      <w:tr w:rsidR="00FC1281" w:rsidRPr="00FC1281" w:rsidTr="00A417A8">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Appeal against an internally assessed marks</w:t>
            </w:r>
          </w:p>
          <w:p w:rsidR="00FC1281" w:rsidRDefault="00FC1281" w:rsidP="00FC1281">
            <w:pPr>
              <w:jc w:val="both"/>
              <w:rPr>
                <w:rFonts w:ascii="Calibri" w:hAnsi="Calibri"/>
                <w:b/>
                <w:bCs/>
                <w:sz w:val="22"/>
                <w:szCs w:val="22"/>
                <w:lang w:eastAsia="en-GB"/>
              </w:rPr>
            </w:pPr>
            <w:r w:rsidRPr="00FC1281">
              <w:rPr>
                <w:rFonts w:ascii="Calibri" w:hAnsi="Calibri"/>
                <w:b/>
                <w:bCs/>
                <w:sz w:val="22"/>
                <w:szCs w:val="22"/>
                <w:lang w:eastAsia="en-GB"/>
              </w:rPr>
              <w:t>Declaration</w:t>
            </w:r>
          </w:p>
          <w:p w:rsidR="00FC1281" w:rsidRPr="00FC1281" w:rsidRDefault="00FC1281" w:rsidP="00FC1281">
            <w:pPr>
              <w:jc w:val="both"/>
              <w:rPr>
                <w:color w:val="auto"/>
                <w:sz w:val="24"/>
                <w:szCs w:val="24"/>
                <w:lang w:eastAsia="en-GB"/>
              </w:rPr>
            </w:pPr>
          </w:p>
          <w:p w:rsidR="00FC1281" w:rsidRDefault="00FC1281" w:rsidP="00FC1281">
            <w:pPr>
              <w:jc w:val="both"/>
              <w:rPr>
                <w:rFonts w:ascii="Calibri" w:hAnsi="Calibri"/>
                <w:sz w:val="22"/>
                <w:szCs w:val="22"/>
                <w:lang w:eastAsia="en-GB"/>
              </w:rPr>
            </w:pPr>
            <w:r w:rsidRPr="00FC1281">
              <w:rPr>
                <w:rFonts w:ascii="Calibri" w:hAnsi="Calibri"/>
                <w:sz w:val="22"/>
                <w:szCs w:val="22"/>
                <w:lang w:eastAsia="en-GB"/>
              </w:rPr>
              <w:t>I confirm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rsidR="00FC1281" w:rsidRPr="00FC1281" w:rsidRDefault="00FC1281" w:rsidP="00FC1281">
            <w:pPr>
              <w:jc w:val="both"/>
              <w:rPr>
                <w:color w:val="auto"/>
                <w:sz w:val="24"/>
                <w:szCs w:val="24"/>
                <w:lang w:eastAsia="en-GB"/>
              </w:rPr>
            </w:pPr>
          </w:p>
          <w:p w:rsidR="00FC1281" w:rsidRPr="00FC1281" w:rsidRDefault="00FC1281" w:rsidP="00FC1281">
            <w:pPr>
              <w:spacing w:line="0" w:lineRule="atLeast"/>
              <w:jc w:val="both"/>
              <w:rPr>
                <w:color w:val="auto"/>
                <w:sz w:val="24"/>
                <w:szCs w:val="24"/>
                <w:lang w:eastAsia="en-GB"/>
              </w:rPr>
            </w:pPr>
            <w:r w:rsidRPr="00FC1281">
              <w:rPr>
                <w:rFonts w:ascii="Calibri" w:hAnsi="Calibri"/>
                <w:b/>
                <w:bCs/>
                <w:sz w:val="22"/>
                <w:szCs w:val="22"/>
                <w:lang w:eastAsia="en-GB"/>
              </w:rPr>
              <w:t>Signature:                                                                                            Date of signature:</w:t>
            </w:r>
          </w:p>
        </w:tc>
      </w:tr>
      <w:tr w:rsidR="00FC1281" w:rsidRPr="00FC1281" w:rsidTr="00A417A8">
        <w:trPr>
          <w:trHeight w:val="1305"/>
        </w:trPr>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Appeal against the centre decision not to support an enquiry about results</w:t>
            </w:r>
          </w:p>
          <w:p w:rsidR="00FC1281" w:rsidRDefault="00FC1281" w:rsidP="00FC1281">
            <w:pPr>
              <w:jc w:val="both"/>
              <w:rPr>
                <w:rFonts w:ascii="Calibri" w:hAnsi="Calibri"/>
                <w:b/>
                <w:bCs/>
                <w:sz w:val="22"/>
                <w:szCs w:val="22"/>
                <w:lang w:eastAsia="en-GB"/>
              </w:rPr>
            </w:pPr>
            <w:r w:rsidRPr="00FC1281">
              <w:rPr>
                <w:rFonts w:ascii="Calibri" w:hAnsi="Calibri"/>
                <w:b/>
                <w:bCs/>
                <w:sz w:val="22"/>
                <w:szCs w:val="22"/>
                <w:lang w:eastAsia="en-GB"/>
              </w:rPr>
              <w:t>Declaration</w:t>
            </w:r>
          </w:p>
          <w:p w:rsidR="00FC1281" w:rsidRPr="00FC1281" w:rsidRDefault="00FC1281" w:rsidP="00FC1281">
            <w:pPr>
              <w:jc w:val="both"/>
              <w:rPr>
                <w:color w:val="auto"/>
                <w:sz w:val="24"/>
                <w:szCs w:val="24"/>
                <w:lang w:eastAsia="en-GB"/>
              </w:rPr>
            </w:pPr>
          </w:p>
          <w:p w:rsidR="00FC1281" w:rsidRDefault="00FC1281" w:rsidP="00FC1281">
            <w:pPr>
              <w:jc w:val="both"/>
              <w:rPr>
                <w:rFonts w:ascii="Calibri" w:hAnsi="Calibri"/>
                <w:sz w:val="22"/>
                <w:szCs w:val="22"/>
                <w:lang w:eastAsia="en-GB"/>
              </w:rPr>
            </w:pPr>
            <w:r w:rsidRPr="00FC1281">
              <w:rPr>
                <w:rFonts w:ascii="Calibri" w:hAnsi="Calibri"/>
                <w:sz w:val="22"/>
                <w:szCs w:val="22"/>
                <w:lang w:eastAsia="en-GB"/>
              </w:rPr>
              <w:t>I confirm I feel there are grounds to appeal against the centre’s decision.</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Signature:                                                                                            Date of signature:</w:t>
            </w:r>
          </w:p>
        </w:tc>
      </w:tr>
      <w:tr w:rsidR="00FC1281" w:rsidRPr="00FC1281" w:rsidTr="00A417A8">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hideMark/>
          </w:tcPr>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Appeal against the outcome of an enquiry about results</w:t>
            </w:r>
          </w:p>
          <w:p w:rsidR="00FC1281" w:rsidRDefault="00FC1281" w:rsidP="00FC1281">
            <w:pPr>
              <w:jc w:val="both"/>
              <w:rPr>
                <w:rFonts w:ascii="Calibri" w:hAnsi="Calibri"/>
                <w:b/>
                <w:bCs/>
                <w:sz w:val="22"/>
                <w:szCs w:val="22"/>
                <w:lang w:eastAsia="en-GB"/>
              </w:rPr>
            </w:pPr>
            <w:r w:rsidRPr="00FC1281">
              <w:rPr>
                <w:rFonts w:ascii="Calibri" w:hAnsi="Calibri"/>
                <w:b/>
                <w:bCs/>
                <w:sz w:val="22"/>
                <w:szCs w:val="22"/>
                <w:lang w:eastAsia="en-GB"/>
              </w:rPr>
              <w:t>Declaration</w:t>
            </w:r>
          </w:p>
          <w:p w:rsidR="00FC1281" w:rsidRPr="00FC1281" w:rsidRDefault="00FC1281" w:rsidP="00FC1281">
            <w:pPr>
              <w:jc w:val="both"/>
              <w:rPr>
                <w:color w:val="auto"/>
                <w:sz w:val="24"/>
                <w:szCs w:val="24"/>
                <w:lang w:eastAsia="en-GB"/>
              </w:rPr>
            </w:pPr>
          </w:p>
          <w:p w:rsidR="00FC1281" w:rsidRDefault="00FC1281" w:rsidP="00FC1281">
            <w:pPr>
              <w:jc w:val="both"/>
              <w:rPr>
                <w:rFonts w:ascii="Calibri" w:hAnsi="Calibri"/>
                <w:sz w:val="22"/>
                <w:szCs w:val="22"/>
                <w:lang w:eastAsia="en-GB"/>
              </w:rPr>
            </w:pPr>
            <w:r w:rsidRPr="00FC1281">
              <w:rPr>
                <w:rFonts w:ascii="Calibri" w:hAnsi="Calibri"/>
                <w:sz w:val="22"/>
                <w:szCs w:val="22"/>
                <w:lang w:eastAsia="en-GB"/>
              </w:rPr>
              <w:t>I confirm I understand that the grounds for my appeal must relate to the awarding body’s procedures or the application of the post-result service procedures. I also understand that appeals do not generally involve further reviews of marking candidates’ work. I also confirm that I will pay in advance any fees which may be charged by the awarding body for the appeal. I understand this fee will be refunded if the appeal is upheld.</w:t>
            </w:r>
          </w:p>
          <w:p w:rsidR="00FC1281" w:rsidRPr="00FC1281" w:rsidRDefault="00FC1281" w:rsidP="00FC1281">
            <w:pPr>
              <w:jc w:val="both"/>
              <w:rPr>
                <w:color w:val="auto"/>
                <w:sz w:val="24"/>
                <w:szCs w:val="24"/>
                <w:lang w:eastAsia="en-GB"/>
              </w:rPr>
            </w:pPr>
          </w:p>
          <w:p w:rsidR="00FC1281" w:rsidRPr="00FC1281" w:rsidRDefault="00FC1281" w:rsidP="00FC1281">
            <w:pPr>
              <w:spacing w:line="0" w:lineRule="atLeast"/>
              <w:jc w:val="both"/>
              <w:rPr>
                <w:color w:val="auto"/>
                <w:sz w:val="24"/>
                <w:szCs w:val="24"/>
                <w:lang w:eastAsia="en-GB"/>
              </w:rPr>
            </w:pPr>
            <w:r w:rsidRPr="00FC1281">
              <w:rPr>
                <w:rFonts w:ascii="Calibri" w:hAnsi="Calibri"/>
                <w:b/>
                <w:bCs/>
                <w:sz w:val="22"/>
                <w:szCs w:val="22"/>
                <w:lang w:eastAsia="en-GB"/>
              </w:rPr>
              <w:t>Signature:                                                                                             Date of signature:</w:t>
            </w:r>
          </w:p>
        </w:tc>
      </w:tr>
    </w:tbl>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This declaration against the relevant appeal must be signed, dated and returned to the Examinations Office, on behalf of the head of centre, to the timescale indicated in the internal appeals procedure.</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The internal appeals procedures for Oldham Hulme Grammar School have been produced to demonstrate compliance with the following:</w:t>
      </w:r>
    </w:p>
    <w:p w:rsidR="00FC1281" w:rsidRPr="00FC1281" w:rsidRDefault="00FC1281" w:rsidP="00FC1281">
      <w:pPr>
        <w:jc w:val="both"/>
        <w:rPr>
          <w:color w:val="auto"/>
          <w:sz w:val="24"/>
          <w:szCs w:val="24"/>
          <w:lang w:eastAsia="en-GB"/>
        </w:rPr>
      </w:pPr>
      <w:r w:rsidRPr="00FC1281">
        <w:rPr>
          <w:rFonts w:ascii="Calibri" w:hAnsi="Calibri"/>
          <w:b/>
          <w:bCs/>
          <w:sz w:val="22"/>
          <w:szCs w:val="22"/>
          <w:u w:val="single"/>
          <w:lang w:eastAsia="en-GB"/>
        </w:rPr>
        <w:t xml:space="preserve">JCQ </w:t>
      </w:r>
      <w:r w:rsidRPr="00FC1281">
        <w:rPr>
          <w:rFonts w:ascii="Calibri" w:hAnsi="Calibri"/>
          <w:b/>
          <w:bCs/>
          <w:i/>
          <w:iCs/>
          <w:sz w:val="22"/>
          <w:szCs w:val="22"/>
          <w:u w:val="single"/>
          <w:lang w:eastAsia="en-GB"/>
        </w:rPr>
        <w:t>General Regulations for approved centres</w:t>
      </w:r>
      <w:hyperlink r:id="rId11" w:history="1">
        <w:r w:rsidRPr="00FC1281">
          <w:rPr>
            <w:rFonts w:ascii="Calibri" w:hAnsi="Calibri"/>
            <w:b/>
            <w:bCs/>
            <w:i/>
            <w:iCs/>
            <w:sz w:val="22"/>
            <w:szCs w:val="22"/>
            <w:lang w:eastAsia="en-GB"/>
          </w:rPr>
          <w:t xml:space="preserve"> </w:t>
        </w:r>
        <w:r w:rsidRPr="00FC1281">
          <w:rPr>
            <w:rFonts w:ascii="Calibri" w:hAnsi="Calibri"/>
            <w:b/>
            <w:bCs/>
            <w:color w:val="1155CC"/>
            <w:sz w:val="22"/>
            <w:szCs w:val="22"/>
            <w:u w:val="single"/>
            <w:lang w:eastAsia="en-GB"/>
          </w:rPr>
          <w:t>http://www.jcq.org.uk/exams-office/general-regulations</w:t>
        </w:r>
      </w:hyperlink>
    </w:p>
    <w:p w:rsidR="00FC1281" w:rsidRDefault="00FC1281" w:rsidP="00FC1281">
      <w:pPr>
        <w:jc w:val="both"/>
        <w:rPr>
          <w:rFonts w:ascii="Calibri" w:hAnsi="Calibri"/>
          <w:b/>
          <w:bCs/>
          <w:sz w:val="22"/>
          <w:szCs w:val="22"/>
          <w:lang w:eastAsia="en-GB"/>
        </w:rPr>
      </w:pPr>
      <w:r w:rsidRPr="00FC1281">
        <w:rPr>
          <w:rFonts w:ascii="Calibri" w:hAnsi="Calibri"/>
          <w:b/>
          <w:bCs/>
          <w:sz w:val="22"/>
          <w:szCs w:val="22"/>
          <w:lang w:eastAsia="en-GB"/>
        </w:rPr>
        <w:t>Controlled Assessments, Coursework, and Portfolios of Evidence</w:t>
      </w:r>
    </w:p>
    <w:p w:rsidR="00FC1281" w:rsidRPr="00FC1281" w:rsidRDefault="00FC1281" w:rsidP="00FC1281">
      <w:pPr>
        <w:jc w:val="both"/>
        <w:rPr>
          <w:color w:val="auto"/>
          <w:sz w:val="24"/>
          <w:szCs w:val="24"/>
          <w:lang w:eastAsia="en-GB"/>
        </w:rPr>
      </w:pPr>
    </w:p>
    <w:p w:rsidR="00FC1281" w:rsidRDefault="00FC1281" w:rsidP="00FC1281">
      <w:pPr>
        <w:jc w:val="both"/>
        <w:rPr>
          <w:rFonts w:ascii="Calibri" w:hAnsi="Calibri"/>
          <w:sz w:val="22"/>
          <w:szCs w:val="22"/>
          <w:lang w:eastAsia="en-GB"/>
        </w:rPr>
      </w:pPr>
      <w:r w:rsidRPr="00FC1281">
        <w:rPr>
          <w:rFonts w:ascii="Calibri" w:hAnsi="Calibri"/>
          <w:sz w:val="22"/>
          <w:szCs w:val="22"/>
          <w:lang w:eastAsia="en-GB"/>
        </w:rPr>
        <w:t>5.8 The centre agrees to have in place, and be available for inspection purposes, a written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w:t>
      </w:r>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Post-Results Services and Appeals</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5.14 The centre agrees to have available for inspection purposes and draw to the attention of candidates and their parents/carers, a written internal appeals procedure to manage disputes when a candidate disagrees with a centre decision not to support an enquiry about results or an appeal; (A centre may place its internal appeals procedure on the school/college website or alternatively the document may be made available to candidates upon request.)</w:t>
      </w:r>
    </w:p>
    <w:p w:rsidR="00FC1281" w:rsidRDefault="00FC1281" w:rsidP="00FC1281">
      <w:pPr>
        <w:jc w:val="both"/>
        <w:rPr>
          <w:color w:val="auto"/>
          <w:sz w:val="24"/>
          <w:szCs w:val="24"/>
          <w:lang w:eastAsia="en-GB"/>
        </w:rPr>
      </w:pPr>
      <w:r w:rsidRPr="00FC1281">
        <w:rPr>
          <w:rFonts w:ascii="Calibri" w:hAnsi="Calibri"/>
          <w:b/>
          <w:bCs/>
          <w:sz w:val="22"/>
          <w:szCs w:val="22"/>
          <w:u w:val="single"/>
          <w:lang w:eastAsia="en-GB"/>
        </w:rPr>
        <w:t xml:space="preserve">JCQ </w:t>
      </w:r>
      <w:r w:rsidRPr="00FC1281">
        <w:rPr>
          <w:rFonts w:ascii="Calibri" w:hAnsi="Calibri"/>
          <w:b/>
          <w:bCs/>
          <w:i/>
          <w:iCs/>
          <w:sz w:val="22"/>
          <w:szCs w:val="22"/>
          <w:u w:val="single"/>
          <w:lang w:eastAsia="en-GB"/>
        </w:rPr>
        <w:t>Post-results services</w:t>
      </w:r>
      <w:hyperlink r:id="rId12" w:history="1">
        <w:r w:rsidRPr="00FC1281">
          <w:rPr>
            <w:rFonts w:ascii="Calibri" w:hAnsi="Calibri"/>
            <w:b/>
            <w:bCs/>
            <w:i/>
            <w:iCs/>
            <w:sz w:val="22"/>
            <w:szCs w:val="22"/>
            <w:lang w:eastAsia="en-GB"/>
          </w:rPr>
          <w:t xml:space="preserve"> </w:t>
        </w:r>
        <w:r w:rsidRPr="00FC1281">
          <w:rPr>
            <w:rFonts w:ascii="Calibri" w:hAnsi="Calibri"/>
            <w:b/>
            <w:bCs/>
            <w:color w:val="1155CC"/>
            <w:sz w:val="22"/>
            <w:szCs w:val="22"/>
            <w:u w:val="single"/>
            <w:lang w:eastAsia="en-GB"/>
          </w:rPr>
          <w:t>http://www.jcq.org.uk/exams-office/post-results-services</w:t>
        </w:r>
      </w:hyperlink>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b/>
          <w:bCs/>
          <w:sz w:val="22"/>
          <w:szCs w:val="22"/>
          <w:lang w:eastAsia="en-GB"/>
        </w:rPr>
        <w:t>6.4 Submission of requests</w:t>
      </w:r>
    </w:p>
    <w:p w:rsidR="00FC1281" w:rsidRDefault="00FC1281" w:rsidP="00FC1281">
      <w:pPr>
        <w:jc w:val="both"/>
        <w:rPr>
          <w:rFonts w:ascii="Calibri" w:hAnsi="Calibri"/>
          <w:sz w:val="22"/>
          <w:szCs w:val="22"/>
          <w:lang w:eastAsia="en-GB"/>
        </w:rPr>
      </w:pPr>
      <w:r w:rsidRPr="00FC1281">
        <w:rPr>
          <w:rFonts w:ascii="Calibri" w:hAnsi="Calibri"/>
          <w:sz w:val="22"/>
          <w:szCs w:val="22"/>
          <w:lang w:eastAsia="en-GB"/>
        </w:rPr>
        <w:t>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w:t>
      </w:r>
    </w:p>
    <w:p w:rsidR="00FC1281" w:rsidRPr="00FC1281" w:rsidRDefault="00FC1281" w:rsidP="00FC1281">
      <w:pPr>
        <w:jc w:val="both"/>
        <w:rPr>
          <w:color w:val="auto"/>
          <w:sz w:val="24"/>
          <w:szCs w:val="24"/>
          <w:lang w:eastAsia="en-GB"/>
        </w:rPr>
      </w:pPr>
    </w:p>
    <w:p w:rsidR="00FC1281" w:rsidRPr="00FC1281" w:rsidRDefault="00FC1281" w:rsidP="00FC1281">
      <w:pPr>
        <w:ind w:left="280" w:hanging="280"/>
        <w:jc w:val="both"/>
        <w:rPr>
          <w:color w:val="auto"/>
          <w:sz w:val="24"/>
          <w:szCs w:val="24"/>
          <w:lang w:eastAsia="en-GB"/>
        </w:rPr>
      </w:pPr>
      <w:r w:rsidRPr="00FC1281">
        <w:rPr>
          <w:rFonts w:ascii="Calibri" w:hAnsi="Calibri"/>
          <w:b/>
          <w:bCs/>
          <w:sz w:val="22"/>
          <w:szCs w:val="22"/>
          <w:lang w:eastAsia="en-GB"/>
        </w:rPr>
        <w:t>7.</w:t>
      </w:r>
      <w:r w:rsidRPr="00FC1281">
        <w:rPr>
          <w:rFonts w:ascii="Calibri" w:hAnsi="Calibri"/>
          <w:sz w:val="22"/>
          <w:szCs w:val="22"/>
          <w:lang w:eastAsia="en-GB"/>
        </w:rPr>
        <w:tab/>
      </w:r>
      <w:r w:rsidRPr="00FC1281">
        <w:rPr>
          <w:rFonts w:ascii="Calibri" w:hAnsi="Calibri"/>
          <w:b/>
          <w:bCs/>
          <w:sz w:val="22"/>
          <w:szCs w:val="22"/>
          <w:lang w:eastAsia="en-GB"/>
        </w:rPr>
        <w:t>Appeals</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Centres must have in place a published formal appeals procedure for use in cases where centres and candidates, or their parents/carers, cannot agree as to whether an appeal should be submitted to the relevant awarding body. The formal appeals procedure must be made widely available. Centres must therefore draw the appeals procedure to the attention of candidates and their parents/carers. In deciding whether to support an appeal, centres should take account of all relevant factors and afford candidates or their parents/carers a reasonable opportunity to express their views. Awarding bodies can only enter into discussions over appeals with centres and private candidates.</w:t>
      </w:r>
    </w:p>
    <w:p w:rsidR="00FC1281" w:rsidRDefault="00FC1281" w:rsidP="00FC1281">
      <w:pPr>
        <w:jc w:val="both"/>
        <w:rPr>
          <w:color w:val="auto"/>
          <w:sz w:val="24"/>
          <w:szCs w:val="24"/>
          <w:lang w:eastAsia="en-GB"/>
        </w:rPr>
      </w:pPr>
      <w:r w:rsidRPr="00FC1281">
        <w:rPr>
          <w:rFonts w:ascii="Calibri" w:hAnsi="Calibri"/>
          <w:b/>
          <w:bCs/>
          <w:sz w:val="22"/>
          <w:szCs w:val="22"/>
          <w:u w:val="single"/>
          <w:lang w:eastAsia="en-GB"/>
        </w:rPr>
        <w:t xml:space="preserve">JCQ </w:t>
      </w:r>
      <w:r w:rsidRPr="00FC1281">
        <w:rPr>
          <w:rFonts w:ascii="Calibri" w:hAnsi="Calibri"/>
          <w:b/>
          <w:bCs/>
          <w:i/>
          <w:iCs/>
          <w:sz w:val="22"/>
          <w:szCs w:val="22"/>
          <w:u w:val="single"/>
          <w:lang w:eastAsia="en-GB"/>
        </w:rPr>
        <w:t>A guide to the awarding bodies’ appeals processes</w:t>
      </w:r>
      <w:hyperlink r:id="rId13" w:history="1">
        <w:r w:rsidRPr="00FC1281">
          <w:rPr>
            <w:rFonts w:ascii="Calibri" w:hAnsi="Calibri"/>
            <w:b/>
            <w:bCs/>
            <w:i/>
            <w:iCs/>
            <w:sz w:val="22"/>
            <w:szCs w:val="22"/>
            <w:lang w:eastAsia="en-GB"/>
          </w:rPr>
          <w:t xml:space="preserve"> </w:t>
        </w:r>
        <w:r w:rsidRPr="00FC1281">
          <w:rPr>
            <w:rFonts w:ascii="Calibri" w:hAnsi="Calibri"/>
            <w:b/>
            <w:bCs/>
            <w:color w:val="1155CC"/>
            <w:sz w:val="22"/>
            <w:szCs w:val="22"/>
            <w:u w:val="single"/>
            <w:lang w:eastAsia="en-GB"/>
          </w:rPr>
          <w:t>http://www.jcq.org.uk/exams-office/appeals</w:t>
        </w:r>
      </w:hyperlink>
    </w:p>
    <w:p w:rsidR="00FC1281" w:rsidRPr="00FC1281" w:rsidRDefault="00FC1281" w:rsidP="00FC1281">
      <w:pPr>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12.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w:t>
      </w:r>
    </w:p>
    <w:p w:rsidR="00FC1281" w:rsidRPr="00FC1281" w:rsidRDefault="00FC1281" w:rsidP="00FC1281">
      <w:pPr>
        <w:jc w:val="both"/>
        <w:rPr>
          <w:color w:val="auto"/>
          <w:sz w:val="24"/>
          <w:szCs w:val="24"/>
          <w:lang w:eastAsia="en-GB"/>
        </w:rPr>
      </w:pPr>
      <w:proofErr w:type="spellStart"/>
      <w:r w:rsidRPr="00FC1281">
        <w:rPr>
          <w:rFonts w:ascii="Calibri" w:hAnsi="Calibri"/>
          <w:b/>
          <w:bCs/>
          <w:sz w:val="22"/>
          <w:szCs w:val="22"/>
          <w:u w:val="single"/>
          <w:lang w:eastAsia="en-GB"/>
        </w:rPr>
        <w:t>Ofqual</w:t>
      </w:r>
      <w:proofErr w:type="spellEnd"/>
      <w:r w:rsidRPr="00FC1281">
        <w:rPr>
          <w:rFonts w:ascii="Calibri" w:hAnsi="Calibri"/>
          <w:b/>
          <w:bCs/>
          <w:sz w:val="22"/>
          <w:szCs w:val="22"/>
          <w:u w:val="single"/>
          <w:lang w:eastAsia="en-GB"/>
        </w:rPr>
        <w:t xml:space="preserve"> </w:t>
      </w:r>
      <w:r w:rsidRPr="00FC1281">
        <w:rPr>
          <w:rFonts w:ascii="Calibri" w:hAnsi="Calibri"/>
          <w:b/>
          <w:bCs/>
          <w:i/>
          <w:iCs/>
          <w:sz w:val="22"/>
          <w:szCs w:val="22"/>
          <w:u w:val="single"/>
          <w:lang w:eastAsia="en-GB"/>
        </w:rPr>
        <w:t>GCSE, GCE, Principal Learning and Project Code of Practice</w:t>
      </w:r>
    </w:p>
    <w:p w:rsidR="00FC1281" w:rsidRDefault="0051758F" w:rsidP="00FC1281">
      <w:pPr>
        <w:ind w:left="560" w:hanging="560"/>
        <w:jc w:val="both"/>
        <w:rPr>
          <w:color w:val="auto"/>
          <w:sz w:val="24"/>
          <w:szCs w:val="24"/>
          <w:lang w:eastAsia="en-GB"/>
        </w:rPr>
      </w:pPr>
      <w:hyperlink r:id="rId14" w:history="1">
        <w:r w:rsidR="00FC1281" w:rsidRPr="00FC1281">
          <w:rPr>
            <w:rFonts w:ascii="Calibri" w:hAnsi="Calibri"/>
            <w:b/>
            <w:bCs/>
            <w:color w:val="1155CC"/>
            <w:sz w:val="22"/>
            <w:szCs w:val="22"/>
            <w:u w:val="single"/>
            <w:lang w:eastAsia="en-GB"/>
          </w:rPr>
          <w:t>https://www.gov.uk/government/publications/gcse-gce-principal-learning-and-project-code-of-practice</w:t>
        </w:r>
      </w:hyperlink>
    </w:p>
    <w:p w:rsidR="00FC1281" w:rsidRPr="00FC1281" w:rsidRDefault="00FC1281" w:rsidP="00FC1281">
      <w:pPr>
        <w:ind w:left="560" w:hanging="560"/>
        <w:jc w:val="both"/>
        <w:rPr>
          <w:color w:val="auto"/>
          <w:sz w:val="24"/>
          <w:szCs w:val="24"/>
          <w:lang w:eastAsia="en-GB"/>
        </w:rPr>
      </w:pPr>
    </w:p>
    <w:p w:rsidR="00FC1281" w:rsidRPr="00FC1281" w:rsidRDefault="00FC1281" w:rsidP="00FC1281">
      <w:pPr>
        <w:ind w:left="560" w:hanging="560"/>
        <w:jc w:val="both"/>
        <w:rPr>
          <w:color w:val="auto"/>
          <w:sz w:val="24"/>
          <w:szCs w:val="24"/>
          <w:lang w:eastAsia="en-GB"/>
        </w:rPr>
      </w:pPr>
      <w:r w:rsidRPr="00FC1281">
        <w:rPr>
          <w:rFonts w:ascii="Calibri" w:hAnsi="Calibri"/>
          <w:bCs/>
          <w:sz w:val="22"/>
          <w:szCs w:val="22"/>
          <w:lang w:eastAsia="en-GB"/>
        </w:rPr>
        <w:t>9.13 The awarding organisation must require centres offering its examinations to ensure that they have in place:</w:t>
      </w:r>
    </w:p>
    <w:p w:rsidR="00FC1281" w:rsidRPr="00FC1281" w:rsidRDefault="00FC1281" w:rsidP="00FC1281">
      <w:pPr>
        <w:ind w:left="851" w:hanging="284"/>
        <w:jc w:val="both"/>
        <w:rPr>
          <w:color w:val="auto"/>
          <w:sz w:val="24"/>
          <w:szCs w:val="24"/>
          <w:lang w:eastAsia="en-GB"/>
        </w:rPr>
      </w:pPr>
      <w:r w:rsidRPr="00FC1281">
        <w:rPr>
          <w:rFonts w:ascii="Calibri" w:hAnsi="Calibri"/>
          <w:bCs/>
          <w:sz w:val="22"/>
          <w:szCs w:val="22"/>
          <w:lang w:eastAsia="en-GB"/>
        </w:rPr>
        <w:t xml:space="preserve">iii. </w:t>
      </w:r>
      <w:proofErr w:type="gramStart"/>
      <w:r w:rsidRPr="00FC1281">
        <w:rPr>
          <w:rFonts w:ascii="Calibri" w:hAnsi="Calibri"/>
          <w:bCs/>
          <w:sz w:val="22"/>
          <w:szCs w:val="22"/>
          <w:lang w:eastAsia="en-GB"/>
        </w:rPr>
        <w:t>a</w:t>
      </w:r>
      <w:proofErr w:type="gramEnd"/>
      <w:r w:rsidRPr="00FC1281">
        <w:rPr>
          <w:rFonts w:ascii="Calibri" w:hAnsi="Calibri"/>
          <w:bCs/>
          <w:sz w:val="22"/>
          <w:szCs w:val="22"/>
          <w:lang w:eastAsia="en-GB"/>
        </w:rPr>
        <w:t xml:space="preserve"> formal, codified procedure for handling disputes when a candidate or carer disagrees with a decision by  the centre not to support an enquiry.</w:t>
      </w:r>
    </w:p>
    <w:p w:rsidR="00FC1281" w:rsidRPr="00FC1281" w:rsidRDefault="00FC1281" w:rsidP="00FC1281">
      <w:pPr>
        <w:ind w:left="560"/>
        <w:jc w:val="both"/>
        <w:rPr>
          <w:rFonts w:ascii="Calibri" w:hAnsi="Calibri"/>
          <w:bCs/>
          <w:sz w:val="22"/>
          <w:szCs w:val="22"/>
          <w:lang w:eastAsia="en-GB"/>
        </w:rPr>
      </w:pPr>
      <w:r w:rsidRPr="00FC1281">
        <w:rPr>
          <w:rFonts w:ascii="Calibri" w:hAnsi="Calibri"/>
          <w:bCs/>
          <w:sz w:val="22"/>
          <w:szCs w:val="22"/>
          <w:lang w:eastAsia="en-GB"/>
        </w:rPr>
        <w:t xml:space="preserve">Centres must be required to ensure that the procedures are published and made widely available and accessible to all candidates and their </w:t>
      </w:r>
      <w:proofErr w:type="spellStart"/>
      <w:r w:rsidRPr="00FC1281">
        <w:rPr>
          <w:rFonts w:ascii="Calibri" w:hAnsi="Calibri"/>
          <w:bCs/>
          <w:sz w:val="22"/>
          <w:szCs w:val="22"/>
          <w:lang w:eastAsia="en-GB"/>
        </w:rPr>
        <w:t>carers</w:t>
      </w:r>
      <w:proofErr w:type="spellEnd"/>
      <w:r w:rsidRPr="00FC1281">
        <w:rPr>
          <w:rFonts w:ascii="Calibri" w:hAnsi="Calibri"/>
          <w:bCs/>
          <w:sz w:val="22"/>
          <w:szCs w:val="22"/>
          <w:lang w:eastAsia="en-GB"/>
        </w:rPr>
        <w:t>.</w:t>
      </w:r>
    </w:p>
    <w:p w:rsidR="00FC1281" w:rsidRPr="00FC1281" w:rsidRDefault="00FC1281" w:rsidP="00FC1281">
      <w:pPr>
        <w:ind w:left="560"/>
        <w:jc w:val="both"/>
        <w:rPr>
          <w:color w:val="auto"/>
          <w:sz w:val="24"/>
          <w:szCs w:val="24"/>
          <w:lang w:eastAsia="en-GB"/>
        </w:rPr>
      </w:pPr>
    </w:p>
    <w:p w:rsidR="00FC1281" w:rsidRPr="00FC1281" w:rsidRDefault="00FC1281" w:rsidP="00FC1281">
      <w:pPr>
        <w:jc w:val="both"/>
        <w:rPr>
          <w:color w:val="auto"/>
          <w:sz w:val="24"/>
          <w:szCs w:val="24"/>
          <w:lang w:eastAsia="en-GB"/>
        </w:rPr>
      </w:pPr>
      <w:r w:rsidRPr="00FC1281">
        <w:rPr>
          <w:rFonts w:ascii="Calibri" w:hAnsi="Calibri"/>
          <w:bCs/>
          <w:sz w:val="22"/>
          <w:szCs w:val="22"/>
          <w:lang w:eastAsia="en-GB"/>
        </w:rPr>
        <w:t>9.14 In deciding whether to support an enquiry or appeal, centres should take account of all relevant factors and afford candidates or their carers a reasonable opportunity to express their views.</w:t>
      </w:r>
    </w:p>
    <w:p w:rsidR="00FC1281" w:rsidRPr="00FC1281" w:rsidRDefault="00FC1281" w:rsidP="00FC1281">
      <w:pPr>
        <w:jc w:val="both"/>
        <w:rPr>
          <w:color w:val="auto"/>
          <w:sz w:val="24"/>
          <w:szCs w:val="24"/>
          <w:lang w:eastAsia="en-GB"/>
        </w:rPr>
      </w:pPr>
      <w:r w:rsidRPr="00FC1281">
        <w:rPr>
          <w:rFonts w:ascii="Calibri" w:hAnsi="Calibri"/>
          <w:bCs/>
          <w:sz w:val="22"/>
          <w:szCs w:val="22"/>
          <w:lang w:eastAsia="en-GB"/>
        </w:rPr>
        <w:t>Appellants should consult the full information in the above publications to be fully informed when stating their grounds for appeal.</w:t>
      </w:r>
    </w:p>
    <w:p w:rsidR="00FC1281" w:rsidRPr="00FC1281" w:rsidRDefault="00FC1281" w:rsidP="00FC1281">
      <w:pPr>
        <w:jc w:val="both"/>
        <w:rPr>
          <w:color w:val="auto"/>
          <w:sz w:val="24"/>
          <w:szCs w:val="24"/>
          <w:lang w:eastAsia="en-GB"/>
        </w:rPr>
      </w:pPr>
      <w:r w:rsidRPr="00FC1281">
        <w:rPr>
          <w:rFonts w:ascii="Calibri" w:hAnsi="Calibri"/>
          <w:sz w:val="22"/>
          <w:szCs w:val="22"/>
          <w:lang w:eastAsia="en-GB"/>
        </w:rPr>
        <w:t>Further information can be obtained from:</w:t>
      </w:r>
    </w:p>
    <w:p w:rsidR="00FC1281" w:rsidRPr="00FC1281" w:rsidRDefault="0051758F" w:rsidP="00FC1281">
      <w:pPr>
        <w:jc w:val="both"/>
        <w:rPr>
          <w:color w:val="auto"/>
          <w:sz w:val="24"/>
          <w:szCs w:val="24"/>
          <w:lang w:eastAsia="en-GB"/>
        </w:rPr>
      </w:pPr>
      <w:hyperlink r:id="rId15" w:history="1">
        <w:r w:rsidR="00FC1281" w:rsidRPr="00FC1281">
          <w:rPr>
            <w:rFonts w:ascii="Calibri" w:hAnsi="Calibri"/>
            <w:color w:val="1155CC"/>
            <w:sz w:val="22"/>
            <w:szCs w:val="22"/>
            <w:u w:val="single"/>
            <w:lang w:eastAsia="en-GB"/>
          </w:rPr>
          <w:t>http://www.jcq.org.uk/exams-office/controlled-assessments</w:t>
        </w:r>
      </w:hyperlink>
    </w:p>
    <w:p w:rsidR="00FC1281" w:rsidRPr="00FC1281" w:rsidRDefault="0051758F" w:rsidP="00FC1281">
      <w:pPr>
        <w:jc w:val="both"/>
        <w:rPr>
          <w:color w:val="auto"/>
          <w:sz w:val="24"/>
          <w:szCs w:val="24"/>
          <w:lang w:eastAsia="en-GB"/>
        </w:rPr>
      </w:pPr>
      <w:hyperlink r:id="rId16" w:history="1">
        <w:r w:rsidR="00FC1281" w:rsidRPr="00FC1281">
          <w:rPr>
            <w:rFonts w:ascii="Calibri" w:hAnsi="Calibri"/>
            <w:color w:val="1155CC"/>
            <w:sz w:val="22"/>
            <w:szCs w:val="22"/>
            <w:u w:val="single"/>
            <w:lang w:eastAsia="en-GB"/>
          </w:rPr>
          <w:t>http://www.jcq.org.uk/exams-office/coursework</w:t>
        </w:r>
      </w:hyperlink>
    </w:p>
    <w:p w:rsidR="00FC1281" w:rsidRPr="00FC1281" w:rsidRDefault="0051758F" w:rsidP="00FC1281">
      <w:pPr>
        <w:jc w:val="both"/>
        <w:rPr>
          <w:color w:val="auto"/>
          <w:sz w:val="24"/>
          <w:szCs w:val="24"/>
          <w:lang w:eastAsia="en-GB"/>
        </w:rPr>
      </w:pPr>
      <w:hyperlink r:id="rId17" w:history="1">
        <w:r w:rsidR="00FC1281" w:rsidRPr="00FC1281">
          <w:rPr>
            <w:rFonts w:ascii="Calibri" w:hAnsi="Calibri"/>
            <w:color w:val="1155CC"/>
            <w:sz w:val="22"/>
            <w:szCs w:val="22"/>
            <w:u w:val="single"/>
            <w:lang w:eastAsia="en-GB"/>
          </w:rPr>
          <w:t>https://www.gov.uk/appeal-exam-result</w:t>
        </w:r>
      </w:hyperlink>
    </w:p>
    <w:p w:rsidR="00093F60" w:rsidRPr="00304ABF" w:rsidRDefault="0051758F" w:rsidP="00FC1281">
      <w:pPr>
        <w:tabs>
          <w:tab w:val="num" w:pos="426"/>
        </w:tabs>
        <w:ind w:left="426" w:hanging="426"/>
        <w:jc w:val="both"/>
        <w:rPr>
          <w:rFonts w:asciiTheme="minorHAnsi" w:hAnsiTheme="minorHAnsi"/>
          <w:sz w:val="22"/>
          <w:szCs w:val="22"/>
        </w:rPr>
      </w:pPr>
      <w:hyperlink r:id="rId18" w:history="1">
        <w:r w:rsidR="00FC1281" w:rsidRPr="00FC1281">
          <w:rPr>
            <w:rFonts w:ascii="Calibri" w:hAnsi="Calibri"/>
            <w:color w:val="1155CC"/>
            <w:sz w:val="22"/>
            <w:szCs w:val="22"/>
            <w:u w:val="single"/>
            <w:lang w:eastAsia="en-GB"/>
          </w:rPr>
          <w:t>http://www.jcq.org.uk/examination-system/the-appeals-process</w:t>
        </w:r>
      </w:hyperlink>
    </w:p>
    <w:p w:rsidR="00A547B0" w:rsidRPr="00304ABF" w:rsidRDefault="00A547B0" w:rsidP="00A547B0">
      <w:pPr>
        <w:jc w:val="both"/>
        <w:rPr>
          <w:rFonts w:asciiTheme="minorHAnsi" w:hAnsiTheme="minorHAnsi"/>
          <w:b/>
          <w:color w:val="auto"/>
          <w:sz w:val="22"/>
          <w:szCs w:val="22"/>
        </w:rPr>
      </w:pPr>
    </w:p>
    <w:p w:rsidR="00A547B0" w:rsidRPr="00304ABF" w:rsidRDefault="00A547B0" w:rsidP="00A547B0">
      <w:pPr>
        <w:jc w:val="both"/>
        <w:rPr>
          <w:rFonts w:asciiTheme="minorHAnsi" w:hAnsiTheme="minorHAnsi"/>
          <w:b/>
          <w:color w:val="auto"/>
          <w:sz w:val="22"/>
          <w:szCs w:val="22"/>
        </w:rPr>
      </w:pPr>
    </w:p>
    <w:p w:rsidR="00A547B0" w:rsidRPr="00304ABF" w:rsidRDefault="00A547B0" w:rsidP="00A547B0">
      <w:pPr>
        <w:jc w:val="both"/>
        <w:rPr>
          <w:rFonts w:asciiTheme="minorHAnsi" w:hAnsiTheme="minorHAnsi"/>
          <w:color w:val="auto"/>
          <w:sz w:val="24"/>
          <w:szCs w:val="24"/>
        </w:rPr>
      </w:pPr>
      <w:r w:rsidRPr="00304ABF">
        <w:rPr>
          <w:rFonts w:asciiTheme="minorHAnsi" w:hAnsiTheme="minorHAnsi"/>
          <w:b/>
          <w:color w:val="auto"/>
          <w:sz w:val="24"/>
          <w:szCs w:val="24"/>
        </w:rPr>
        <w:t xml:space="preserve">Internal Appeals against Assessment Decisions policy reviewed: </w:t>
      </w:r>
      <w:r w:rsidR="00FC1281">
        <w:rPr>
          <w:rFonts w:asciiTheme="minorHAnsi" w:hAnsiTheme="minorHAnsi"/>
          <w:b/>
          <w:color w:val="auto"/>
          <w:sz w:val="24"/>
          <w:szCs w:val="24"/>
        </w:rPr>
        <w:t>December 2016</w:t>
      </w:r>
    </w:p>
    <w:p w:rsidR="00A547B0" w:rsidRPr="00304ABF" w:rsidRDefault="00A547B0" w:rsidP="00A547B0">
      <w:pPr>
        <w:jc w:val="both"/>
        <w:rPr>
          <w:rFonts w:asciiTheme="minorHAnsi" w:hAnsiTheme="minorHAnsi"/>
          <w:color w:val="000000" w:themeColor="text1"/>
          <w:sz w:val="22"/>
          <w:szCs w:val="22"/>
        </w:rPr>
      </w:pPr>
    </w:p>
    <w:p w:rsidR="00A547B0" w:rsidRPr="00304ABF" w:rsidRDefault="0051758F" w:rsidP="00A547B0">
      <w:pPr>
        <w:jc w:val="both"/>
        <w:rPr>
          <w:rFonts w:asciiTheme="minorHAnsi" w:hAnsiTheme="minorHAnsi"/>
          <w:color w:val="000000" w:themeColor="text1"/>
          <w:sz w:val="22"/>
          <w:szCs w:val="22"/>
        </w:rPr>
      </w:pPr>
      <w:r>
        <w:rPr>
          <w:rFonts w:asciiTheme="minorHAnsi" w:hAnsiTheme="minorHAnsi"/>
          <w:noProof/>
          <w:color w:val="auto"/>
          <w:sz w:val="22"/>
          <w:szCs w:val="22"/>
        </w:rPr>
        <w:pict>
          <v:line id="Straight Connector 3" o:spid="_x0000_s1028"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93.6pt,11pt" to="50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"/>
        </w:pict>
      </w:r>
      <w:r>
        <w:rPr>
          <w:rFonts w:asciiTheme="minorHAnsi" w:hAnsiTheme="minorHAnsi"/>
          <w:noProof/>
          <w:color w:val="auto"/>
          <w:sz w:val="22"/>
          <w:szCs w:val="22"/>
        </w:rPr>
        <w:pict>
          <v:line id="Straight Connector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11pt" to="24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"/>
        </w:pict>
      </w:r>
      <w:r w:rsidR="00A547B0" w:rsidRPr="00304ABF">
        <w:rPr>
          <w:rFonts w:asciiTheme="minorHAnsi" w:hAnsiTheme="minorHAnsi"/>
          <w:color w:val="000000" w:themeColor="text1"/>
          <w:sz w:val="22"/>
          <w:szCs w:val="22"/>
        </w:rPr>
        <w:t>Signed:</w:t>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t xml:space="preserve">Principal </w:t>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t>Date:</w:t>
      </w:r>
    </w:p>
    <w:p w:rsidR="00A547B0" w:rsidRPr="00304ABF" w:rsidRDefault="00A547B0" w:rsidP="00A547B0">
      <w:pPr>
        <w:jc w:val="both"/>
        <w:rPr>
          <w:rFonts w:asciiTheme="minorHAnsi" w:hAnsiTheme="minorHAnsi"/>
          <w:color w:val="000000" w:themeColor="text1"/>
          <w:sz w:val="22"/>
          <w:szCs w:val="22"/>
        </w:rPr>
      </w:pPr>
    </w:p>
    <w:p w:rsidR="00A547B0" w:rsidRPr="00304ABF" w:rsidRDefault="0051758F" w:rsidP="00A547B0">
      <w:pPr>
        <w:jc w:val="both"/>
        <w:rPr>
          <w:rFonts w:asciiTheme="minorHAnsi" w:hAnsiTheme="minorHAnsi"/>
          <w:color w:val="000000" w:themeColor="text1"/>
          <w:sz w:val="22"/>
          <w:szCs w:val="22"/>
        </w:rPr>
      </w:pPr>
      <w:r>
        <w:rPr>
          <w:rFonts w:asciiTheme="minorHAnsi" w:hAnsiTheme="minorHAnsi"/>
          <w:noProof/>
          <w:color w:val="auto"/>
          <w:sz w:val="22"/>
          <w:szCs w:val="22"/>
        </w:rPr>
        <w:pict>
          <v:line id="Straight Connector 4" o:spid="_x0000_s1029"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95.1pt,8.15pt" to="50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"/>
        </w:pict>
      </w:r>
      <w:r>
        <w:rPr>
          <w:rFonts w:asciiTheme="minorHAnsi" w:hAnsiTheme="minorHAnsi"/>
          <w:noProof/>
          <w:color w:val="auto"/>
          <w:sz w:val="22"/>
          <w:szCs w:val="22"/>
        </w:rPr>
        <w:pict>
          <v:line id="Straight Connector 2" o:spid="_x0000_s1027"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8.15pt" to="242.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"/>
        </w:pict>
      </w:r>
      <w:r w:rsidR="00A547B0" w:rsidRPr="00304ABF">
        <w:rPr>
          <w:rFonts w:asciiTheme="minorHAnsi" w:hAnsiTheme="minorHAnsi"/>
          <w:color w:val="000000" w:themeColor="text1"/>
          <w:sz w:val="22"/>
          <w:szCs w:val="22"/>
        </w:rPr>
        <w:t xml:space="preserve">Signed: </w:t>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ab/>
      </w:r>
      <w:r w:rsidR="00CA1380" w:rsidRPr="00304ABF">
        <w:rPr>
          <w:rFonts w:asciiTheme="minorHAnsi" w:hAnsiTheme="minorHAnsi"/>
          <w:color w:val="000000" w:themeColor="text1"/>
          <w:sz w:val="22"/>
          <w:szCs w:val="22"/>
        </w:rPr>
        <w:tab/>
      </w:r>
      <w:r w:rsidR="00A547B0" w:rsidRPr="00304ABF">
        <w:rPr>
          <w:rFonts w:asciiTheme="minorHAnsi" w:hAnsiTheme="minorHAnsi"/>
          <w:color w:val="000000" w:themeColor="text1"/>
          <w:sz w:val="22"/>
          <w:szCs w:val="22"/>
        </w:rPr>
        <w:t xml:space="preserve">Chair of Governors </w:t>
      </w:r>
      <w:r w:rsidR="00A547B0" w:rsidRPr="00304ABF">
        <w:rPr>
          <w:rFonts w:asciiTheme="minorHAnsi" w:hAnsiTheme="minorHAnsi"/>
          <w:color w:val="000000" w:themeColor="text1"/>
          <w:sz w:val="22"/>
          <w:szCs w:val="22"/>
        </w:rPr>
        <w:tab/>
        <w:t>Date:</w:t>
      </w:r>
    </w:p>
    <w:p w:rsidR="00A547B0" w:rsidRPr="00304ABF" w:rsidRDefault="00A547B0" w:rsidP="00A547B0">
      <w:pPr>
        <w:jc w:val="both"/>
        <w:rPr>
          <w:rFonts w:asciiTheme="minorHAnsi" w:hAnsiTheme="minorHAnsi"/>
          <w:b/>
          <w:color w:val="000000" w:themeColor="text1"/>
          <w:sz w:val="22"/>
          <w:szCs w:val="22"/>
        </w:rPr>
      </w:pPr>
    </w:p>
    <w:p w:rsidR="00A547B0" w:rsidRPr="00304ABF" w:rsidRDefault="00A547B0" w:rsidP="00A547B0">
      <w:pPr>
        <w:jc w:val="both"/>
        <w:rPr>
          <w:rFonts w:asciiTheme="minorHAnsi" w:hAnsiTheme="minorHAnsi"/>
          <w:color w:val="auto"/>
          <w:sz w:val="24"/>
          <w:szCs w:val="24"/>
        </w:rPr>
      </w:pPr>
      <w:r w:rsidRPr="00304ABF">
        <w:rPr>
          <w:rFonts w:asciiTheme="minorHAnsi" w:hAnsiTheme="minorHAnsi"/>
          <w:b/>
          <w:color w:val="000000" w:themeColor="text1"/>
          <w:sz w:val="24"/>
          <w:szCs w:val="24"/>
        </w:rPr>
        <w:t xml:space="preserve">Next Review Due: </w:t>
      </w:r>
      <w:r w:rsidR="0051758F">
        <w:rPr>
          <w:rFonts w:asciiTheme="minorHAnsi" w:hAnsiTheme="minorHAnsi"/>
          <w:b/>
          <w:color w:val="000000" w:themeColor="text1"/>
          <w:sz w:val="24"/>
          <w:szCs w:val="24"/>
        </w:rPr>
        <w:t>November 2018</w:t>
      </w:r>
    </w:p>
    <w:p w:rsidR="00A547B0" w:rsidRPr="00CE3D1B" w:rsidRDefault="00A547B0" w:rsidP="00533F45">
      <w:pPr>
        <w:tabs>
          <w:tab w:val="num" w:pos="426"/>
        </w:tabs>
        <w:ind w:left="426" w:hanging="426"/>
        <w:jc w:val="both"/>
        <w:rPr>
          <w:sz w:val="24"/>
          <w:szCs w:val="24"/>
        </w:rPr>
      </w:pPr>
      <w:bookmarkStart w:id="0" w:name="_GoBack"/>
      <w:bookmarkEnd w:id="0"/>
    </w:p>
    <w:sectPr w:rsidR="00A547B0" w:rsidRPr="00CE3D1B" w:rsidSect="00FC1281">
      <w:footerReference w:type="default" r:id="rId19"/>
      <w:pgSz w:w="11904" w:h="16834"/>
      <w:pgMar w:top="851" w:right="564" w:bottom="709" w:left="709" w:header="720" w:footer="2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96" w:rsidRDefault="00B77796">
      <w:r>
        <w:separator/>
      </w:r>
    </w:p>
  </w:endnote>
  <w:endnote w:type="continuationSeparator" w:id="0">
    <w:p w:rsidR="00B77796" w:rsidRDefault="00B7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47275"/>
      <w:docPartObj>
        <w:docPartGallery w:val="Page Numbers (Bottom of Page)"/>
        <w:docPartUnique/>
      </w:docPartObj>
    </w:sdtPr>
    <w:sdtEndPr>
      <w:rPr>
        <w:noProof/>
      </w:rPr>
    </w:sdtEndPr>
    <w:sdtContent>
      <w:p w:rsidR="00A547B0" w:rsidRDefault="00A547B0">
        <w:pPr>
          <w:pStyle w:val="Footer"/>
        </w:pPr>
        <w:r>
          <w:fldChar w:fldCharType="begin"/>
        </w:r>
        <w:r>
          <w:instrText xml:space="preserve"> PAGE   \* MERGEFORMAT </w:instrText>
        </w:r>
        <w:r>
          <w:fldChar w:fldCharType="separate"/>
        </w:r>
        <w:r w:rsidR="0051758F">
          <w:rPr>
            <w:noProof/>
          </w:rPr>
          <w:t>1</w:t>
        </w:r>
        <w:r>
          <w:rPr>
            <w:noProof/>
          </w:rPr>
          <w:fldChar w:fldCharType="end"/>
        </w:r>
        <w:r>
          <w:rPr>
            <w:noProof/>
          </w:rPr>
          <w:t xml:space="preserve">    </w:t>
        </w:r>
        <w:r w:rsidR="005A45D8">
          <w:rPr>
            <w:noProof/>
          </w:rPr>
          <w:t xml:space="preserve">         </w:t>
        </w:r>
        <w:r w:rsidR="00FC1281">
          <w:rPr>
            <w:noProof/>
          </w:rPr>
          <w:t>December</w:t>
        </w:r>
        <w:r w:rsidR="005A45D8">
          <w:rPr>
            <w:noProof/>
          </w:rPr>
          <w:t xml:space="preserve"> 2016</w:t>
        </w:r>
      </w:p>
    </w:sdtContent>
  </w:sdt>
  <w:p w:rsidR="00DE0F54" w:rsidRDefault="00DE0F54" w:rsidP="001701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96" w:rsidRDefault="00B77796">
      <w:r>
        <w:separator/>
      </w:r>
    </w:p>
  </w:footnote>
  <w:footnote w:type="continuationSeparator" w:id="0">
    <w:p w:rsidR="00B77796" w:rsidRDefault="00B77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75B"/>
    <w:multiLevelType w:val="multilevel"/>
    <w:tmpl w:val="7C369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11101"/>
    <w:multiLevelType w:val="hybridMultilevel"/>
    <w:tmpl w:val="29B67174"/>
    <w:lvl w:ilvl="0" w:tplc="04090001">
      <w:start w:val="1"/>
      <w:numFmt w:val="bullet"/>
      <w:lvlText w:val=""/>
      <w:lvlJc w:val="left"/>
      <w:pPr>
        <w:tabs>
          <w:tab w:val="num" w:pos="1287"/>
        </w:tabs>
        <w:ind w:left="1287" w:hanging="360"/>
      </w:pPr>
      <w:rPr>
        <w:rFonts w:ascii="Symbol" w:hAnsi="Symbol" w:hint="default"/>
      </w:rPr>
    </w:lvl>
    <w:lvl w:ilvl="1" w:tplc="FB78E398">
      <w:start w:val="1"/>
      <w:numFmt w:val="lowerLetter"/>
      <w:lvlText w:val="(%2)"/>
      <w:lvlJc w:val="left"/>
      <w:pPr>
        <w:tabs>
          <w:tab w:val="num" w:pos="2007"/>
        </w:tabs>
        <w:ind w:left="2007" w:hanging="360"/>
      </w:pPr>
      <w:rPr>
        <w:rFonts w:hint="default"/>
      </w:rPr>
    </w:lvl>
    <w:lvl w:ilvl="2" w:tplc="EBFA5AD0">
      <w:start w:val="5"/>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22C93989"/>
    <w:multiLevelType w:val="multilevel"/>
    <w:tmpl w:val="D326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C4122"/>
    <w:multiLevelType w:val="hybridMultilevel"/>
    <w:tmpl w:val="F0384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A833EE"/>
    <w:multiLevelType w:val="hybridMultilevel"/>
    <w:tmpl w:val="29B67174"/>
    <w:lvl w:ilvl="0" w:tplc="04090001">
      <w:start w:val="1"/>
      <w:numFmt w:val="bullet"/>
      <w:lvlText w:val=""/>
      <w:lvlJc w:val="left"/>
      <w:pPr>
        <w:tabs>
          <w:tab w:val="num" w:pos="1287"/>
        </w:tabs>
        <w:ind w:left="1287" w:hanging="360"/>
      </w:pPr>
      <w:rPr>
        <w:rFonts w:ascii="Symbol" w:hAnsi="Symbol" w:hint="default"/>
      </w:rPr>
    </w:lvl>
    <w:lvl w:ilvl="1" w:tplc="FB78E398">
      <w:start w:val="1"/>
      <w:numFmt w:val="lowerLetter"/>
      <w:lvlText w:val="(%2)"/>
      <w:lvlJc w:val="left"/>
      <w:pPr>
        <w:tabs>
          <w:tab w:val="num" w:pos="2007"/>
        </w:tabs>
        <w:ind w:left="2007" w:hanging="360"/>
      </w:pPr>
      <w:rPr>
        <w:rFonts w:hint="default"/>
      </w:rPr>
    </w:lvl>
    <w:lvl w:ilvl="2" w:tplc="EBFA5AD0">
      <w:start w:val="5"/>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46D63C32"/>
    <w:multiLevelType w:val="multilevel"/>
    <w:tmpl w:val="1DA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E063F"/>
    <w:multiLevelType w:val="multilevel"/>
    <w:tmpl w:val="873A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685ED5"/>
    <w:multiLevelType w:val="multilevel"/>
    <w:tmpl w:val="D5B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64CA1"/>
    <w:multiLevelType w:val="multilevel"/>
    <w:tmpl w:val="023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10DE8"/>
    <w:multiLevelType w:val="hybridMultilevel"/>
    <w:tmpl w:val="7DD0058C"/>
    <w:lvl w:ilvl="0" w:tplc="04090001">
      <w:start w:val="1"/>
      <w:numFmt w:val="bullet"/>
      <w:lvlText w:val=""/>
      <w:lvlJc w:val="left"/>
      <w:pPr>
        <w:tabs>
          <w:tab w:val="num" w:pos="1296"/>
        </w:tabs>
        <w:ind w:left="1296" w:hanging="360"/>
      </w:pPr>
      <w:rPr>
        <w:rFonts w:ascii="Symbol" w:hAnsi="Symbol" w:hint="default"/>
      </w:rPr>
    </w:lvl>
    <w:lvl w:ilvl="1" w:tplc="0409000F">
      <w:start w:val="1"/>
      <w:numFmt w:val="decimal"/>
      <w:lvlText w:val="%2."/>
      <w:lvlJc w:val="left"/>
      <w:pPr>
        <w:tabs>
          <w:tab w:val="num" w:pos="2016"/>
        </w:tabs>
        <w:ind w:left="2016" w:hanging="360"/>
      </w:p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6"/>
  </w:num>
  <w:num w:numId="6">
    <w:abstractNumId w:val="8"/>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F60"/>
    <w:rsid w:val="00093F60"/>
    <w:rsid w:val="000D0360"/>
    <w:rsid w:val="00104D6F"/>
    <w:rsid w:val="00170132"/>
    <w:rsid w:val="002109D8"/>
    <w:rsid w:val="002243E5"/>
    <w:rsid w:val="002526A0"/>
    <w:rsid w:val="0026517A"/>
    <w:rsid w:val="002F09D6"/>
    <w:rsid w:val="00300F79"/>
    <w:rsid w:val="00304ABF"/>
    <w:rsid w:val="003474F1"/>
    <w:rsid w:val="003B29D2"/>
    <w:rsid w:val="00504DE3"/>
    <w:rsid w:val="0051758F"/>
    <w:rsid w:val="00533F45"/>
    <w:rsid w:val="005A45D8"/>
    <w:rsid w:val="005A792D"/>
    <w:rsid w:val="00617651"/>
    <w:rsid w:val="008854AB"/>
    <w:rsid w:val="00921A28"/>
    <w:rsid w:val="009C170C"/>
    <w:rsid w:val="00A417A8"/>
    <w:rsid w:val="00A547B0"/>
    <w:rsid w:val="00AE0300"/>
    <w:rsid w:val="00B77796"/>
    <w:rsid w:val="00CA1380"/>
    <w:rsid w:val="00CE3D1B"/>
    <w:rsid w:val="00DE0F54"/>
    <w:rsid w:val="00EC1DDA"/>
    <w:rsid w:val="00F427BA"/>
    <w:rsid w:val="00FC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F60"/>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93F60"/>
    <w:pPr>
      <w:spacing w:line="264" w:lineRule="exact"/>
      <w:ind w:left="567" w:right="288" w:hanging="423"/>
    </w:pPr>
    <w:rPr>
      <w:sz w:val="24"/>
      <w:lang w:val="en-US"/>
    </w:rPr>
  </w:style>
  <w:style w:type="paragraph" w:styleId="Title">
    <w:name w:val="Title"/>
    <w:basedOn w:val="Normal"/>
    <w:qFormat/>
    <w:rsid w:val="00093F60"/>
    <w:pPr>
      <w:spacing w:after="216"/>
      <w:jc w:val="center"/>
    </w:pPr>
    <w:rPr>
      <w:rFonts w:ascii="Arial" w:hAnsi="Arial" w:cs="Arial"/>
      <w:b/>
      <w:bCs/>
      <w:spacing w:val="-2"/>
      <w:sz w:val="28"/>
      <w:lang w:val="en-US"/>
    </w:rPr>
  </w:style>
  <w:style w:type="paragraph" w:styleId="BodyText">
    <w:name w:val="Body Text"/>
    <w:basedOn w:val="Normal"/>
    <w:rsid w:val="00093F60"/>
    <w:rPr>
      <w:rFonts w:ascii="Arial" w:hAnsi="Arial" w:cs="Arial"/>
      <w:sz w:val="22"/>
      <w:lang w:val="en-US"/>
    </w:rPr>
  </w:style>
  <w:style w:type="paragraph" w:styleId="Footer">
    <w:name w:val="footer"/>
    <w:basedOn w:val="Normal"/>
    <w:link w:val="FooterChar"/>
    <w:uiPriority w:val="99"/>
    <w:rsid w:val="00093F60"/>
    <w:pPr>
      <w:tabs>
        <w:tab w:val="center" w:pos="4153"/>
        <w:tab w:val="right" w:pos="8306"/>
      </w:tabs>
    </w:pPr>
  </w:style>
  <w:style w:type="character" w:styleId="PageNumber">
    <w:name w:val="page number"/>
    <w:basedOn w:val="DefaultParagraphFont"/>
    <w:rsid w:val="00093F60"/>
    <w:rPr>
      <w:rFonts w:ascii="Arial" w:hAnsi="Arial" w:hint="default"/>
      <w:strike w:val="0"/>
      <w:noProof/>
      <w:color w:val="000000"/>
      <w:spacing w:val="0"/>
      <w:sz w:val="20"/>
    </w:rPr>
  </w:style>
  <w:style w:type="paragraph" w:styleId="DocumentMap">
    <w:name w:val="Document Map"/>
    <w:basedOn w:val="Normal"/>
    <w:semiHidden/>
    <w:rsid w:val="00DE0F54"/>
    <w:pPr>
      <w:shd w:val="clear" w:color="auto" w:fill="000080"/>
    </w:pPr>
    <w:rPr>
      <w:rFonts w:ascii="Tahoma" w:hAnsi="Tahoma" w:cs="Tahoma"/>
    </w:rPr>
  </w:style>
  <w:style w:type="paragraph" w:styleId="Header">
    <w:name w:val="header"/>
    <w:basedOn w:val="Normal"/>
    <w:rsid w:val="00DE0F54"/>
    <w:pPr>
      <w:tabs>
        <w:tab w:val="center" w:pos="4153"/>
        <w:tab w:val="right" w:pos="8306"/>
      </w:tabs>
    </w:pPr>
  </w:style>
  <w:style w:type="paragraph" w:styleId="BalloonText">
    <w:name w:val="Balloon Text"/>
    <w:basedOn w:val="Normal"/>
    <w:link w:val="BalloonTextChar"/>
    <w:rsid w:val="000D0360"/>
    <w:rPr>
      <w:rFonts w:ascii="Tahoma" w:hAnsi="Tahoma" w:cs="Tahoma"/>
      <w:sz w:val="16"/>
      <w:szCs w:val="16"/>
    </w:rPr>
  </w:style>
  <w:style w:type="character" w:customStyle="1" w:styleId="BalloonTextChar">
    <w:name w:val="Balloon Text Char"/>
    <w:basedOn w:val="DefaultParagraphFont"/>
    <w:link w:val="BalloonText"/>
    <w:rsid w:val="000D0360"/>
    <w:rPr>
      <w:rFonts w:ascii="Tahoma" w:hAnsi="Tahoma" w:cs="Tahoma"/>
      <w:color w:val="000000"/>
      <w:sz w:val="16"/>
      <w:szCs w:val="16"/>
      <w:lang w:eastAsia="en-US"/>
    </w:rPr>
  </w:style>
  <w:style w:type="character" w:customStyle="1" w:styleId="FooterChar">
    <w:name w:val="Footer Char"/>
    <w:basedOn w:val="DefaultParagraphFont"/>
    <w:link w:val="Footer"/>
    <w:uiPriority w:val="99"/>
    <w:rsid w:val="00A547B0"/>
    <w:rPr>
      <w:color w:val="000000"/>
      <w:lang w:eastAsia="en-US"/>
    </w:rPr>
  </w:style>
  <w:style w:type="paragraph" w:styleId="ListParagraph">
    <w:name w:val="List Paragraph"/>
    <w:basedOn w:val="Normal"/>
    <w:uiPriority w:val="34"/>
    <w:qFormat/>
    <w:rsid w:val="00A41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9019">
      <w:bodyDiv w:val="1"/>
      <w:marLeft w:val="0"/>
      <w:marRight w:val="0"/>
      <w:marTop w:val="0"/>
      <w:marBottom w:val="0"/>
      <w:divBdr>
        <w:top w:val="none" w:sz="0" w:space="0" w:color="auto"/>
        <w:left w:val="none" w:sz="0" w:space="0" w:color="auto"/>
        <w:bottom w:val="none" w:sz="0" w:space="0" w:color="auto"/>
        <w:right w:val="none" w:sz="0" w:space="0" w:color="auto"/>
      </w:divBdr>
      <w:divsChild>
        <w:div w:id="1567494899">
          <w:marLeft w:val="426"/>
          <w:marRight w:val="0"/>
          <w:marTop w:val="0"/>
          <w:marBottom w:val="0"/>
          <w:divBdr>
            <w:top w:val="none" w:sz="0" w:space="0" w:color="auto"/>
            <w:left w:val="none" w:sz="0" w:space="0" w:color="auto"/>
            <w:bottom w:val="none" w:sz="0" w:space="0" w:color="auto"/>
            <w:right w:val="none" w:sz="0" w:space="0" w:color="auto"/>
          </w:divBdr>
        </w:div>
        <w:div w:id="104217165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post-results-services" TargetMode="External"/><Relationship Id="rId13" Type="http://schemas.openxmlformats.org/officeDocument/2006/relationships/hyperlink" Target="http://www.jcq.org.uk/exams-office/appeals" TargetMode="External"/><Relationship Id="rId18" Type="http://schemas.openxmlformats.org/officeDocument/2006/relationships/hyperlink" Target="http://www.jcq.org.uk/examination-system/the-appeals-proces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cq.org.uk/exams-office/post-results-services" TargetMode="External"/><Relationship Id="rId17" Type="http://schemas.openxmlformats.org/officeDocument/2006/relationships/hyperlink" Target="https://www.gov.uk/appeal-exam-result" TargetMode="External"/><Relationship Id="rId2" Type="http://schemas.openxmlformats.org/officeDocument/2006/relationships/styles" Target="styles.xml"/><Relationship Id="rId16" Type="http://schemas.openxmlformats.org/officeDocument/2006/relationships/hyperlink" Target="http://www.jcq.org.uk/exams-office/course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cq.org.uk/exams-office/general-regulations" TargetMode="External"/><Relationship Id="rId5" Type="http://schemas.openxmlformats.org/officeDocument/2006/relationships/webSettings" Target="webSettings.xml"/><Relationship Id="rId15" Type="http://schemas.openxmlformats.org/officeDocument/2006/relationships/hyperlink" Target="http://www.jcq.org.uk/exams-office/controlled-assessments" TargetMode="External"/><Relationship Id="rId10" Type="http://schemas.openxmlformats.org/officeDocument/2006/relationships/hyperlink" Target="http://www.jcq.org.uk/exams-office/appe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cq.org.uk/exams-office/post-results-services" TargetMode="External"/><Relationship Id="rId14" Type="http://schemas.openxmlformats.org/officeDocument/2006/relationships/hyperlink" Target="https://www.gov.uk/government/publications/gcse-gce-principal-learning-and-project-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1723</Words>
  <Characters>10783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Internal Appeals about </vt:lpstr>
    </vt:vector>
  </TitlesOfParts>
  <Company>Hewlett-Packard Company</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about</dc:title>
  <dc:creator>josephs</dc:creator>
  <cp:lastModifiedBy>Daryl Webb</cp:lastModifiedBy>
  <cp:revision>16</cp:revision>
  <cp:lastPrinted>2017-06-15T16:20:00Z</cp:lastPrinted>
  <dcterms:created xsi:type="dcterms:W3CDTF">2010-11-24T10:32:00Z</dcterms:created>
  <dcterms:modified xsi:type="dcterms:W3CDTF">2017-06-15T16:24:00Z</dcterms:modified>
</cp:coreProperties>
</file>